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1F788" w14:textId="5A8708A3" w:rsidR="009404CA" w:rsidRPr="00E547DA" w:rsidRDefault="00E547DA" w:rsidP="00A801A5">
      <w:pPr>
        <w:spacing w:after="160"/>
        <w:rPr>
          <w:b/>
          <w:bCs/>
          <w:color w:val="000000" w:themeColor="text1"/>
        </w:rPr>
      </w:pPr>
      <w:r w:rsidRPr="00E547DA">
        <w:rPr>
          <w:b/>
          <w:bCs/>
          <w:color w:val="000000" w:themeColor="text1"/>
        </w:rPr>
        <w:t>Useful Resources</w:t>
      </w:r>
    </w:p>
    <w:p w14:paraId="59DACF7E" w14:textId="77777777" w:rsidR="00D016A5" w:rsidRDefault="00D016A5" w:rsidP="00A801A5">
      <w:pPr>
        <w:spacing w:after="160"/>
      </w:pPr>
    </w:p>
    <w:tbl>
      <w:tblPr>
        <w:tblStyle w:val="TableGrid"/>
        <w:tblW w:w="0" w:type="auto"/>
        <w:tblLayout w:type="fixed"/>
        <w:tblLook w:val="04A0" w:firstRow="1" w:lastRow="0" w:firstColumn="1" w:lastColumn="0" w:noHBand="0" w:noVBand="1"/>
      </w:tblPr>
      <w:tblGrid>
        <w:gridCol w:w="3685"/>
        <w:gridCol w:w="2880"/>
        <w:gridCol w:w="2785"/>
      </w:tblGrid>
      <w:tr w:rsidR="00D016A5" w:rsidRPr="00D016A5" w14:paraId="499C41C4" w14:textId="77777777" w:rsidTr="00494772">
        <w:tc>
          <w:tcPr>
            <w:tcW w:w="3685" w:type="dxa"/>
            <w:shd w:val="clear" w:color="auto" w:fill="D9E2F3" w:themeFill="accent1" w:themeFillTint="33"/>
          </w:tcPr>
          <w:p w14:paraId="5AF79119" w14:textId="77777777" w:rsidR="00D016A5" w:rsidRPr="00D016A5" w:rsidRDefault="00D016A5" w:rsidP="00494772">
            <w:pPr>
              <w:rPr>
                <w:rFonts w:ascii="Times New Roman" w:hAnsi="Times New Roman"/>
                <w:sz w:val="24"/>
                <w:szCs w:val="24"/>
              </w:rPr>
            </w:pPr>
            <w:r w:rsidRPr="00D016A5">
              <w:rPr>
                <w:rFonts w:ascii="Times New Roman" w:hAnsi="Times New Roman"/>
                <w:sz w:val="24"/>
                <w:szCs w:val="24"/>
              </w:rPr>
              <w:t>Recommended Article, Paper or Order</w:t>
            </w:r>
          </w:p>
        </w:tc>
        <w:tc>
          <w:tcPr>
            <w:tcW w:w="2880" w:type="dxa"/>
            <w:shd w:val="clear" w:color="auto" w:fill="D9E2F3" w:themeFill="accent1" w:themeFillTint="33"/>
          </w:tcPr>
          <w:p w14:paraId="66864C5D" w14:textId="77777777" w:rsidR="00D016A5" w:rsidRPr="00D016A5" w:rsidRDefault="00D016A5" w:rsidP="00494772">
            <w:pPr>
              <w:rPr>
                <w:rFonts w:ascii="Times New Roman" w:hAnsi="Times New Roman"/>
                <w:sz w:val="24"/>
                <w:szCs w:val="24"/>
              </w:rPr>
            </w:pPr>
            <w:r w:rsidRPr="00D016A5">
              <w:rPr>
                <w:rFonts w:ascii="Times New Roman" w:hAnsi="Times New Roman"/>
                <w:sz w:val="24"/>
                <w:szCs w:val="24"/>
              </w:rPr>
              <w:t>Description</w:t>
            </w:r>
          </w:p>
        </w:tc>
        <w:tc>
          <w:tcPr>
            <w:tcW w:w="2785" w:type="dxa"/>
            <w:shd w:val="clear" w:color="auto" w:fill="D9E2F3" w:themeFill="accent1" w:themeFillTint="33"/>
          </w:tcPr>
          <w:p w14:paraId="492C7549" w14:textId="77777777" w:rsidR="00D016A5" w:rsidRPr="00D016A5" w:rsidRDefault="00D016A5" w:rsidP="00494772">
            <w:pPr>
              <w:rPr>
                <w:rFonts w:ascii="Times New Roman" w:hAnsi="Times New Roman"/>
                <w:sz w:val="24"/>
                <w:szCs w:val="24"/>
              </w:rPr>
            </w:pPr>
            <w:r w:rsidRPr="00D016A5">
              <w:rPr>
                <w:rFonts w:ascii="Times New Roman" w:hAnsi="Times New Roman"/>
                <w:sz w:val="24"/>
                <w:szCs w:val="24"/>
              </w:rPr>
              <w:t>Link</w:t>
            </w:r>
          </w:p>
        </w:tc>
      </w:tr>
      <w:tr w:rsidR="00D016A5" w:rsidRPr="007C07C9" w14:paraId="012D49CD" w14:textId="77777777" w:rsidTr="00494772">
        <w:tc>
          <w:tcPr>
            <w:tcW w:w="3685" w:type="dxa"/>
          </w:tcPr>
          <w:p w14:paraId="0A93EAA7" w14:textId="0BD46682" w:rsidR="00D016A5" w:rsidRPr="007C07C9" w:rsidRDefault="00D016A5" w:rsidP="00494772">
            <w:pPr>
              <w:rPr>
                <w:rFonts w:ascii="Times New Roman" w:hAnsi="Times New Roman"/>
                <w:color w:val="000000"/>
                <w:sz w:val="24"/>
                <w:szCs w:val="24"/>
              </w:rPr>
            </w:pPr>
            <w:r w:rsidRPr="007C07C9">
              <w:rPr>
                <w:rFonts w:ascii="Times New Roman" w:hAnsi="Times New Roman"/>
                <w:color w:val="000000"/>
                <w:sz w:val="24"/>
                <w:szCs w:val="24"/>
              </w:rPr>
              <w:t xml:space="preserve">Adam Vann, Cong. </w:t>
            </w:r>
            <w:proofErr w:type="spellStart"/>
            <w:r w:rsidRPr="007C07C9">
              <w:rPr>
                <w:rFonts w:ascii="Times New Roman" w:hAnsi="Times New Roman"/>
                <w:color w:val="000000"/>
                <w:sz w:val="24"/>
                <w:szCs w:val="24"/>
              </w:rPr>
              <w:t>R</w:t>
            </w:r>
            <w:r w:rsidR="007C07C9" w:rsidRPr="007C07C9">
              <w:rPr>
                <w:rFonts w:ascii="Times New Roman" w:hAnsi="Times New Roman"/>
                <w:color w:val="000000"/>
                <w:sz w:val="24"/>
                <w:szCs w:val="24"/>
              </w:rPr>
              <w:t>s</w:t>
            </w:r>
            <w:r w:rsidRPr="007C07C9">
              <w:rPr>
                <w:rFonts w:ascii="Times New Roman" w:hAnsi="Times New Roman"/>
                <w:color w:val="000000"/>
                <w:sz w:val="24"/>
                <w:szCs w:val="24"/>
              </w:rPr>
              <w:t>ch</w:t>
            </w:r>
            <w:proofErr w:type="spellEnd"/>
            <w:r w:rsidR="007C07C9" w:rsidRPr="007C07C9">
              <w:rPr>
                <w:rFonts w:ascii="Times New Roman" w:hAnsi="Times New Roman"/>
                <w:color w:val="000000"/>
                <w:sz w:val="24"/>
                <w:szCs w:val="24"/>
              </w:rPr>
              <w:t>.</w:t>
            </w:r>
            <w:r w:rsidRPr="007C07C9">
              <w:rPr>
                <w:rFonts w:ascii="Times New Roman" w:hAnsi="Times New Roman"/>
                <w:color w:val="000000"/>
                <w:sz w:val="24"/>
                <w:szCs w:val="24"/>
              </w:rPr>
              <w:t xml:space="preserve"> Serv., R40175, </w:t>
            </w:r>
            <w:r w:rsidRPr="007C07C9">
              <w:rPr>
                <w:rFonts w:ascii="Times New Roman" w:hAnsi="Times New Roman"/>
                <w:i/>
                <w:iCs/>
                <w:color w:val="000000"/>
                <w:sz w:val="24"/>
                <w:szCs w:val="24"/>
              </w:rPr>
              <w:t>Offshore Wind Energy Development: Legal Framework (2023).</w:t>
            </w:r>
          </w:p>
          <w:p w14:paraId="679DB21A" w14:textId="77777777" w:rsidR="00D016A5" w:rsidRPr="007C07C9" w:rsidRDefault="00D016A5" w:rsidP="00494772">
            <w:pPr>
              <w:rPr>
                <w:rFonts w:ascii="Times New Roman" w:hAnsi="Times New Roman"/>
                <w:sz w:val="24"/>
                <w:szCs w:val="24"/>
              </w:rPr>
            </w:pPr>
          </w:p>
        </w:tc>
        <w:tc>
          <w:tcPr>
            <w:tcW w:w="2880" w:type="dxa"/>
          </w:tcPr>
          <w:p w14:paraId="27C67A72" w14:textId="77777777" w:rsidR="00D016A5" w:rsidRPr="007C07C9" w:rsidRDefault="00D016A5" w:rsidP="00494772">
            <w:pPr>
              <w:rPr>
                <w:rFonts w:ascii="Times New Roman" w:hAnsi="Times New Roman"/>
                <w:color w:val="000000"/>
                <w:sz w:val="24"/>
                <w:szCs w:val="24"/>
              </w:rPr>
            </w:pPr>
            <w:r w:rsidRPr="007C07C9">
              <w:rPr>
                <w:rFonts w:ascii="Times New Roman" w:hAnsi="Times New Roman"/>
                <w:color w:val="000000"/>
                <w:sz w:val="24"/>
                <w:szCs w:val="24"/>
              </w:rPr>
              <w:t xml:space="preserve">An explanation of the legal framework for offshore wind energy in the United States.  Summarizes applicable federal laws, how agencies interpret them, and how they interact in the context of offshore wind development.  </w:t>
            </w:r>
          </w:p>
          <w:p w14:paraId="04542994" w14:textId="77777777" w:rsidR="00D016A5" w:rsidRPr="007C07C9" w:rsidRDefault="00D016A5" w:rsidP="00494772">
            <w:pPr>
              <w:rPr>
                <w:rFonts w:ascii="Times New Roman" w:hAnsi="Times New Roman"/>
                <w:sz w:val="24"/>
                <w:szCs w:val="24"/>
              </w:rPr>
            </w:pPr>
          </w:p>
        </w:tc>
        <w:tc>
          <w:tcPr>
            <w:tcW w:w="2785" w:type="dxa"/>
          </w:tcPr>
          <w:p w14:paraId="2B56A4F9" w14:textId="089A871D" w:rsidR="00E547DA" w:rsidRPr="00E547DA" w:rsidRDefault="00E36359" w:rsidP="00494772">
            <w:pPr>
              <w:rPr>
                <w:rFonts w:ascii="Times New Roman" w:hAnsi="Times New Roman"/>
                <w:color w:val="0563C1"/>
                <w:sz w:val="24"/>
                <w:szCs w:val="24"/>
                <w:u w:val="single"/>
              </w:rPr>
            </w:pPr>
            <w:hyperlink r:id="rId8" w:history="1">
              <w:r w:rsidR="00E547DA" w:rsidRPr="00E547DA">
                <w:rPr>
                  <w:rStyle w:val="Hyperlink"/>
                  <w:rFonts w:ascii="Times New Roman" w:hAnsi="Times New Roman"/>
                  <w:sz w:val="24"/>
                  <w:szCs w:val="24"/>
                </w:rPr>
                <w:t>https://crsreports.congress.gov/product/pdf/R/R40175</w:t>
              </w:r>
            </w:hyperlink>
          </w:p>
          <w:p w14:paraId="45BD1076" w14:textId="2B4FB16E" w:rsidR="00D016A5" w:rsidRPr="00E547DA" w:rsidRDefault="00D016A5" w:rsidP="00494772">
            <w:pPr>
              <w:rPr>
                <w:rFonts w:ascii="Times New Roman" w:hAnsi="Times New Roman"/>
                <w:sz w:val="24"/>
                <w:szCs w:val="24"/>
              </w:rPr>
            </w:pPr>
            <w:r w:rsidRPr="00E547DA">
              <w:rPr>
                <w:rFonts w:ascii="Times New Roman" w:hAnsi="Times New Roman"/>
                <w:color w:val="0563C1"/>
                <w:sz w:val="24"/>
                <w:szCs w:val="24"/>
                <w:u w:val="single"/>
              </w:rPr>
              <w:t xml:space="preserve"> </w:t>
            </w:r>
          </w:p>
        </w:tc>
      </w:tr>
      <w:tr w:rsidR="00D016A5" w:rsidRPr="007C07C9" w14:paraId="3ED75235" w14:textId="77777777" w:rsidTr="00494772">
        <w:tc>
          <w:tcPr>
            <w:tcW w:w="3685" w:type="dxa"/>
          </w:tcPr>
          <w:p w14:paraId="4174E329" w14:textId="77777777" w:rsidR="00D016A5" w:rsidRPr="007C07C9" w:rsidRDefault="00D016A5" w:rsidP="00494772">
            <w:pPr>
              <w:rPr>
                <w:rFonts w:ascii="Times New Roman" w:hAnsi="Times New Roman"/>
                <w:color w:val="000000"/>
                <w:sz w:val="24"/>
                <w:szCs w:val="24"/>
              </w:rPr>
            </w:pPr>
            <w:proofErr w:type="spellStart"/>
            <w:r w:rsidRPr="007C07C9">
              <w:rPr>
                <w:rFonts w:ascii="Times New Roman" w:hAnsi="Times New Roman"/>
                <w:color w:val="000000"/>
                <w:sz w:val="24"/>
                <w:szCs w:val="24"/>
              </w:rPr>
              <w:t>Bennun</w:t>
            </w:r>
            <w:proofErr w:type="spellEnd"/>
            <w:r w:rsidRPr="007C07C9">
              <w:rPr>
                <w:rFonts w:ascii="Times New Roman" w:hAnsi="Times New Roman"/>
                <w:color w:val="000000"/>
                <w:sz w:val="24"/>
                <w:szCs w:val="24"/>
              </w:rPr>
              <w:t xml:space="preserve"> et al., IUCN &amp; The Biodiversity Consultancy, </w:t>
            </w:r>
            <w:r w:rsidRPr="007C07C9">
              <w:rPr>
                <w:rFonts w:ascii="Times New Roman" w:hAnsi="Times New Roman"/>
                <w:i/>
                <w:iCs/>
                <w:color w:val="000000"/>
                <w:sz w:val="24"/>
                <w:szCs w:val="24"/>
              </w:rPr>
              <w:t>Industry Guidance for Early Screening of Biodiversity Risk: Offshore Wind</w:t>
            </w:r>
            <w:r w:rsidRPr="007C07C9">
              <w:rPr>
                <w:rFonts w:ascii="Times New Roman" w:hAnsi="Times New Roman"/>
                <w:color w:val="000000"/>
                <w:sz w:val="24"/>
                <w:szCs w:val="24"/>
              </w:rPr>
              <w:t xml:space="preserve"> (2021).</w:t>
            </w:r>
          </w:p>
          <w:p w14:paraId="3C3B83BF" w14:textId="77777777" w:rsidR="00D016A5" w:rsidRPr="007C07C9" w:rsidRDefault="00D016A5" w:rsidP="00494772">
            <w:pPr>
              <w:rPr>
                <w:rFonts w:ascii="Times New Roman" w:hAnsi="Times New Roman"/>
                <w:sz w:val="24"/>
                <w:szCs w:val="24"/>
              </w:rPr>
            </w:pPr>
          </w:p>
        </w:tc>
        <w:tc>
          <w:tcPr>
            <w:tcW w:w="2880" w:type="dxa"/>
          </w:tcPr>
          <w:p w14:paraId="523A123F" w14:textId="77777777" w:rsidR="00D016A5" w:rsidRPr="007C07C9" w:rsidRDefault="00D016A5" w:rsidP="00494772">
            <w:pPr>
              <w:rPr>
                <w:rFonts w:ascii="Times New Roman" w:hAnsi="Times New Roman"/>
                <w:color w:val="000000"/>
                <w:sz w:val="24"/>
                <w:szCs w:val="24"/>
              </w:rPr>
            </w:pPr>
            <w:r w:rsidRPr="007C07C9">
              <w:rPr>
                <w:rFonts w:ascii="Times New Roman" w:hAnsi="Times New Roman"/>
                <w:color w:val="000000"/>
                <w:sz w:val="24"/>
                <w:szCs w:val="24"/>
              </w:rPr>
              <w:t xml:space="preserve">Proposes uniform guidance for identifying and avoiding areas of high biodiversity sensitivity based on the IUCN/TBC guidelines for mitigating biodiversity impacts associated with solar and wind energy development. </w:t>
            </w:r>
          </w:p>
          <w:p w14:paraId="18DAEF41" w14:textId="77777777" w:rsidR="00D016A5" w:rsidRPr="007C07C9" w:rsidRDefault="00D016A5" w:rsidP="00494772">
            <w:pPr>
              <w:rPr>
                <w:rFonts w:ascii="Times New Roman" w:hAnsi="Times New Roman"/>
                <w:sz w:val="24"/>
                <w:szCs w:val="24"/>
              </w:rPr>
            </w:pPr>
          </w:p>
        </w:tc>
        <w:tc>
          <w:tcPr>
            <w:tcW w:w="2785" w:type="dxa"/>
          </w:tcPr>
          <w:p w14:paraId="22194777" w14:textId="77777777" w:rsidR="00D016A5" w:rsidRPr="007C07C9" w:rsidRDefault="00E36359" w:rsidP="00494772">
            <w:pPr>
              <w:rPr>
                <w:rFonts w:ascii="Times New Roman" w:hAnsi="Times New Roman"/>
                <w:sz w:val="24"/>
                <w:szCs w:val="24"/>
              </w:rPr>
            </w:pPr>
            <w:hyperlink r:id="rId9" w:history="1">
              <w:r w:rsidR="00D016A5" w:rsidRPr="007C07C9">
                <w:rPr>
                  <w:rStyle w:val="Hyperlink"/>
                  <w:rFonts w:ascii="Times New Roman" w:hAnsi="Times New Roman"/>
                  <w:sz w:val="24"/>
                  <w:szCs w:val="24"/>
                </w:rPr>
                <w:t>Industry guidance for early screening of biodiversity risk for offshore wind energy development - resource | IUCN</w:t>
              </w:r>
            </w:hyperlink>
          </w:p>
        </w:tc>
      </w:tr>
      <w:tr w:rsidR="00D016A5" w:rsidRPr="007C07C9" w14:paraId="13557FA9" w14:textId="77777777" w:rsidTr="00D016A5">
        <w:tc>
          <w:tcPr>
            <w:tcW w:w="3685" w:type="dxa"/>
          </w:tcPr>
          <w:p w14:paraId="2772E6DD" w14:textId="77777777" w:rsidR="00D016A5" w:rsidRPr="007C07C9" w:rsidRDefault="00D016A5" w:rsidP="00B70FA8">
            <w:pPr>
              <w:rPr>
                <w:rFonts w:ascii="Times New Roman" w:hAnsi="Times New Roman"/>
                <w:color w:val="000000"/>
                <w:sz w:val="24"/>
                <w:szCs w:val="24"/>
              </w:rPr>
            </w:pPr>
            <w:r w:rsidRPr="007C07C9">
              <w:rPr>
                <w:rFonts w:ascii="Times New Roman" w:hAnsi="Times New Roman"/>
                <w:color w:val="000000"/>
                <w:sz w:val="24"/>
                <w:szCs w:val="24"/>
              </w:rPr>
              <w:t xml:space="preserve">Boling et al., Ocean Conservancy &amp; Perkins </w:t>
            </w:r>
            <w:proofErr w:type="spellStart"/>
            <w:r w:rsidRPr="007C07C9">
              <w:rPr>
                <w:rFonts w:ascii="Times New Roman" w:hAnsi="Times New Roman"/>
                <w:color w:val="000000"/>
                <w:sz w:val="24"/>
                <w:szCs w:val="24"/>
              </w:rPr>
              <w:t>Coie</w:t>
            </w:r>
            <w:proofErr w:type="spellEnd"/>
            <w:r w:rsidRPr="007C07C9">
              <w:rPr>
                <w:rFonts w:ascii="Times New Roman" w:hAnsi="Times New Roman"/>
                <w:color w:val="000000"/>
                <w:sz w:val="24"/>
                <w:szCs w:val="24"/>
              </w:rPr>
              <w:t xml:space="preserve">, </w:t>
            </w:r>
            <w:r w:rsidRPr="007C07C9">
              <w:rPr>
                <w:rFonts w:ascii="Times New Roman" w:hAnsi="Times New Roman"/>
                <w:i/>
                <w:iCs/>
                <w:color w:val="000000"/>
                <w:sz w:val="24"/>
                <w:szCs w:val="24"/>
              </w:rPr>
              <w:t xml:space="preserve">From Policy to Power: Federal Actions to Deliver on America’s Offshore Wind Potential </w:t>
            </w:r>
            <w:r w:rsidRPr="007C07C9">
              <w:rPr>
                <w:rFonts w:ascii="Times New Roman" w:hAnsi="Times New Roman"/>
                <w:color w:val="000000"/>
                <w:sz w:val="24"/>
                <w:szCs w:val="24"/>
              </w:rPr>
              <w:t>(2022).</w:t>
            </w:r>
          </w:p>
          <w:p w14:paraId="7E0F7E41" w14:textId="77777777" w:rsidR="00D016A5" w:rsidRPr="007C07C9" w:rsidRDefault="00D016A5" w:rsidP="00B70FA8">
            <w:pPr>
              <w:rPr>
                <w:rFonts w:ascii="Times New Roman" w:hAnsi="Times New Roman"/>
                <w:color w:val="000000"/>
                <w:sz w:val="24"/>
                <w:szCs w:val="24"/>
              </w:rPr>
            </w:pPr>
          </w:p>
        </w:tc>
        <w:tc>
          <w:tcPr>
            <w:tcW w:w="2880" w:type="dxa"/>
          </w:tcPr>
          <w:p w14:paraId="3E07233D" w14:textId="77777777" w:rsidR="00D016A5" w:rsidRPr="007C07C9" w:rsidRDefault="00D016A5" w:rsidP="00B70FA8">
            <w:pPr>
              <w:rPr>
                <w:rFonts w:ascii="Times New Roman" w:hAnsi="Times New Roman"/>
                <w:color w:val="000000"/>
                <w:sz w:val="24"/>
                <w:szCs w:val="24"/>
              </w:rPr>
            </w:pPr>
            <w:r w:rsidRPr="007C07C9">
              <w:rPr>
                <w:rFonts w:ascii="Times New Roman" w:hAnsi="Times New Roman"/>
                <w:color w:val="000000"/>
                <w:sz w:val="24"/>
                <w:szCs w:val="24"/>
              </w:rPr>
              <w:t xml:space="preserve">The report outlines the various policies, regulations, and statutes that apply to offshore wind development in the U.S and outlines recommendations that would improve regulatory certainty to maximize offshore wind development and sustainability.   </w:t>
            </w:r>
          </w:p>
          <w:p w14:paraId="336B78E1" w14:textId="57ADB50A" w:rsidR="00D016A5" w:rsidRPr="007C07C9" w:rsidRDefault="00D016A5" w:rsidP="00B70FA8">
            <w:pPr>
              <w:rPr>
                <w:rFonts w:ascii="Times New Roman" w:hAnsi="Times New Roman"/>
                <w:color w:val="000000"/>
                <w:sz w:val="24"/>
                <w:szCs w:val="24"/>
              </w:rPr>
            </w:pPr>
          </w:p>
        </w:tc>
        <w:tc>
          <w:tcPr>
            <w:tcW w:w="2785" w:type="dxa"/>
          </w:tcPr>
          <w:p w14:paraId="3D090D8E" w14:textId="77777777" w:rsidR="00D016A5" w:rsidRPr="007C07C9" w:rsidRDefault="00E36359" w:rsidP="00B70FA8">
            <w:pPr>
              <w:rPr>
                <w:rFonts w:ascii="Times New Roman" w:hAnsi="Times New Roman"/>
                <w:sz w:val="24"/>
                <w:szCs w:val="24"/>
              </w:rPr>
            </w:pPr>
            <w:hyperlink r:id="rId10" w:history="1">
              <w:r w:rsidR="00D016A5" w:rsidRPr="007C07C9">
                <w:rPr>
                  <w:rStyle w:val="Hyperlink"/>
                  <w:rFonts w:ascii="Times New Roman" w:hAnsi="Times New Roman"/>
                  <w:sz w:val="24"/>
                  <w:szCs w:val="24"/>
                </w:rPr>
                <w:t>https://oceanconservancy.org/climate/offshore-wind/offshore-wind-report/</w:t>
              </w:r>
            </w:hyperlink>
          </w:p>
          <w:p w14:paraId="1F59D4CF" w14:textId="77777777" w:rsidR="00D016A5" w:rsidRPr="007C07C9" w:rsidRDefault="00D016A5" w:rsidP="00B70FA8">
            <w:pPr>
              <w:rPr>
                <w:rFonts w:ascii="Times New Roman" w:hAnsi="Times New Roman"/>
                <w:sz w:val="24"/>
                <w:szCs w:val="24"/>
              </w:rPr>
            </w:pPr>
          </w:p>
          <w:p w14:paraId="2F1105E0" w14:textId="01A4AA52" w:rsidR="00C9534E" w:rsidRPr="007C07C9" w:rsidRDefault="00D016A5" w:rsidP="00B70FA8">
            <w:pPr>
              <w:rPr>
                <w:rFonts w:ascii="Times New Roman" w:hAnsi="Times New Roman"/>
                <w:color w:val="000000"/>
                <w:sz w:val="24"/>
                <w:szCs w:val="24"/>
              </w:rPr>
            </w:pPr>
            <w:r w:rsidRPr="007C07C9">
              <w:rPr>
                <w:rFonts w:ascii="Times New Roman" w:hAnsi="Times New Roman"/>
                <w:color w:val="000000"/>
                <w:sz w:val="24"/>
                <w:szCs w:val="24"/>
              </w:rPr>
              <w:t>The link is to the main page. Readers can find the full report here</w:t>
            </w:r>
            <w:r w:rsidR="00C9534E" w:rsidRPr="007C07C9">
              <w:rPr>
                <w:rFonts w:ascii="Times New Roman" w:hAnsi="Times New Roman"/>
                <w:color w:val="000000"/>
                <w:sz w:val="24"/>
                <w:szCs w:val="24"/>
              </w:rPr>
              <w:t>:</w:t>
            </w:r>
          </w:p>
          <w:p w14:paraId="5445C2F8" w14:textId="2A09E5AA" w:rsidR="00D016A5" w:rsidRPr="007C07C9" w:rsidRDefault="00E36359" w:rsidP="00B70FA8">
            <w:pPr>
              <w:rPr>
                <w:rFonts w:ascii="Times New Roman" w:hAnsi="Times New Roman"/>
                <w:sz w:val="24"/>
                <w:szCs w:val="24"/>
              </w:rPr>
            </w:pPr>
            <w:hyperlink r:id="rId11" w:history="1">
              <w:r w:rsidR="00C9534E" w:rsidRPr="007C07C9">
                <w:rPr>
                  <w:rStyle w:val="Hyperlink"/>
                  <w:rFonts w:ascii="Times New Roman" w:hAnsi="Times New Roman"/>
                  <w:sz w:val="24"/>
                  <w:szCs w:val="24"/>
                </w:rPr>
                <w:t>https://oceanconservancy.org/wp-content/uploads/2022/05/Offshore-Wind-Report_20220523.pdf</w:t>
              </w:r>
              <w:r w:rsidR="00D016A5" w:rsidRPr="007C07C9">
                <w:rPr>
                  <w:rStyle w:val="Hyperlink"/>
                  <w:rFonts w:ascii="Times New Roman" w:hAnsi="Times New Roman"/>
                  <w:sz w:val="24"/>
                  <w:szCs w:val="24"/>
                </w:rPr>
                <w:t xml:space="preserve"> </w:t>
              </w:r>
            </w:hyperlink>
            <w:r w:rsidR="00D016A5" w:rsidRPr="007C07C9">
              <w:rPr>
                <w:rFonts w:ascii="Times New Roman" w:hAnsi="Times New Roman"/>
                <w:color w:val="000000"/>
                <w:sz w:val="24"/>
                <w:szCs w:val="24"/>
              </w:rPr>
              <w:t xml:space="preserve"> </w:t>
            </w:r>
          </w:p>
        </w:tc>
      </w:tr>
    </w:tbl>
    <w:p w14:paraId="3B2DCB9D" w14:textId="77777777" w:rsidR="00D016A5" w:rsidRPr="007C07C9" w:rsidRDefault="00D016A5" w:rsidP="00494772">
      <w:pPr>
        <w:rPr>
          <w:color w:val="000000"/>
        </w:rPr>
        <w:sectPr w:rsidR="00D016A5" w:rsidRPr="007C07C9" w:rsidSect="0078713B">
          <w:headerReference w:type="even" r:id="rId12"/>
          <w:headerReference w:type="default" r:id="rId13"/>
          <w:footerReference w:type="even" r:id="rId14"/>
          <w:footerReference w:type="default" r:id="rId15"/>
          <w:headerReference w:type="first" r:id="rId16"/>
          <w:footerReference w:type="first" r:id="rId17"/>
          <w:pgSz w:w="12240" w:h="15840"/>
          <w:pgMar w:top="720" w:right="1440" w:bottom="720" w:left="1440" w:header="720" w:footer="720" w:gutter="0"/>
          <w:cols w:space="720"/>
          <w:docGrid w:linePitch="360"/>
        </w:sectPr>
      </w:pPr>
    </w:p>
    <w:tbl>
      <w:tblPr>
        <w:tblStyle w:val="TableGrid"/>
        <w:tblW w:w="0" w:type="auto"/>
        <w:tblLayout w:type="fixed"/>
        <w:tblLook w:val="04A0" w:firstRow="1" w:lastRow="0" w:firstColumn="1" w:lastColumn="0" w:noHBand="0" w:noVBand="1"/>
      </w:tblPr>
      <w:tblGrid>
        <w:gridCol w:w="3685"/>
        <w:gridCol w:w="2880"/>
        <w:gridCol w:w="2785"/>
      </w:tblGrid>
      <w:tr w:rsidR="00D016A5" w:rsidRPr="007C07C9" w14:paraId="5A51A118" w14:textId="77777777" w:rsidTr="00D016A5">
        <w:trPr>
          <w:trHeight w:val="1367"/>
        </w:trPr>
        <w:tc>
          <w:tcPr>
            <w:tcW w:w="3685" w:type="dxa"/>
          </w:tcPr>
          <w:p w14:paraId="7E3329BB" w14:textId="77777777" w:rsidR="00D016A5" w:rsidRPr="007C07C9" w:rsidRDefault="00D016A5" w:rsidP="00494772">
            <w:pPr>
              <w:rPr>
                <w:rFonts w:ascii="Times New Roman" w:hAnsi="Times New Roman"/>
                <w:color w:val="000000"/>
                <w:sz w:val="24"/>
                <w:szCs w:val="24"/>
              </w:rPr>
            </w:pPr>
            <w:proofErr w:type="spellStart"/>
            <w:r w:rsidRPr="007C07C9">
              <w:rPr>
                <w:rFonts w:ascii="Times New Roman" w:hAnsi="Times New Roman"/>
                <w:color w:val="000000"/>
                <w:sz w:val="24"/>
                <w:szCs w:val="24"/>
              </w:rPr>
              <w:lastRenderedPageBreak/>
              <w:t>Ekstrom</w:t>
            </w:r>
            <w:proofErr w:type="spellEnd"/>
            <w:r w:rsidRPr="007C07C9">
              <w:rPr>
                <w:rFonts w:ascii="Times New Roman" w:hAnsi="Times New Roman"/>
                <w:color w:val="000000"/>
                <w:sz w:val="24"/>
                <w:szCs w:val="24"/>
              </w:rPr>
              <w:t xml:space="preserve"> et al., The Biodiversity Consultancy, </w:t>
            </w:r>
            <w:r w:rsidRPr="007C07C9">
              <w:rPr>
                <w:rFonts w:ascii="Times New Roman" w:hAnsi="Times New Roman"/>
                <w:i/>
                <w:iCs/>
                <w:color w:val="000000"/>
                <w:sz w:val="24"/>
                <w:szCs w:val="24"/>
              </w:rPr>
              <w:t>A Cross-Sector Guide for implementing the Mitigation Hierarchy</w:t>
            </w:r>
            <w:r w:rsidRPr="007C07C9">
              <w:rPr>
                <w:rFonts w:ascii="Times New Roman" w:hAnsi="Times New Roman"/>
                <w:color w:val="000000"/>
                <w:sz w:val="24"/>
                <w:szCs w:val="24"/>
              </w:rPr>
              <w:t xml:space="preserve"> (2015)</w:t>
            </w:r>
          </w:p>
        </w:tc>
        <w:tc>
          <w:tcPr>
            <w:tcW w:w="2880" w:type="dxa"/>
          </w:tcPr>
          <w:p w14:paraId="0BD4E0F3" w14:textId="77777777" w:rsidR="00D016A5" w:rsidRPr="007C07C9" w:rsidRDefault="00D016A5" w:rsidP="00494772">
            <w:pPr>
              <w:rPr>
                <w:rFonts w:ascii="Times New Roman" w:hAnsi="Times New Roman"/>
                <w:sz w:val="24"/>
                <w:szCs w:val="24"/>
              </w:rPr>
            </w:pPr>
            <w:r w:rsidRPr="007C07C9">
              <w:rPr>
                <w:rFonts w:ascii="Times New Roman" w:hAnsi="Times New Roman"/>
                <w:color w:val="000000"/>
                <w:sz w:val="24"/>
                <w:szCs w:val="24"/>
              </w:rPr>
              <w:t>A Cross-Sector Guide for implementing the Mitigation Hierarchy.</w:t>
            </w:r>
          </w:p>
        </w:tc>
        <w:tc>
          <w:tcPr>
            <w:tcW w:w="2785" w:type="dxa"/>
          </w:tcPr>
          <w:p w14:paraId="00C6810E" w14:textId="77777777" w:rsidR="00D016A5" w:rsidRPr="007C07C9" w:rsidRDefault="00E36359" w:rsidP="00494772">
            <w:pPr>
              <w:rPr>
                <w:rFonts w:ascii="Times New Roman" w:hAnsi="Times New Roman"/>
                <w:sz w:val="24"/>
                <w:szCs w:val="24"/>
              </w:rPr>
            </w:pPr>
            <w:hyperlink r:id="rId18" w:history="1">
              <w:r w:rsidR="00D016A5" w:rsidRPr="007C07C9">
                <w:rPr>
                  <w:rStyle w:val="Hyperlink"/>
                  <w:rFonts w:ascii="Times New Roman" w:hAnsi="Times New Roman"/>
                  <w:sz w:val="24"/>
                  <w:szCs w:val="24"/>
                </w:rPr>
                <w:t>A cross-sector guide for implementing the Mitigation Hierarchy (csbi.org.uk)</w:t>
              </w:r>
            </w:hyperlink>
          </w:p>
        </w:tc>
      </w:tr>
      <w:tr w:rsidR="00D016A5" w:rsidRPr="007C07C9" w14:paraId="515C5D2E" w14:textId="77777777" w:rsidTr="00D016A5">
        <w:trPr>
          <w:trHeight w:val="3590"/>
        </w:trPr>
        <w:tc>
          <w:tcPr>
            <w:tcW w:w="3685" w:type="dxa"/>
          </w:tcPr>
          <w:p w14:paraId="089DF99A" w14:textId="77777777" w:rsidR="00D016A5" w:rsidRPr="007C07C9" w:rsidRDefault="00D016A5" w:rsidP="00494772">
            <w:pPr>
              <w:rPr>
                <w:rFonts w:ascii="Times New Roman" w:hAnsi="Times New Roman"/>
                <w:color w:val="000000"/>
                <w:sz w:val="24"/>
                <w:szCs w:val="24"/>
              </w:rPr>
            </w:pPr>
            <w:r w:rsidRPr="007C07C9">
              <w:rPr>
                <w:rFonts w:ascii="Times New Roman" w:hAnsi="Times New Roman"/>
                <w:color w:val="000000"/>
                <w:sz w:val="24"/>
                <w:szCs w:val="24"/>
              </w:rPr>
              <w:t xml:space="preserve">Cooper et al., </w:t>
            </w:r>
            <w:r w:rsidRPr="007C07C9">
              <w:rPr>
                <w:rFonts w:ascii="Times New Roman" w:hAnsi="Times New Roman"/>
                <w:i/>
                <w:iCs/>
                <w:color w:val="000000"/>
                <w:sz w:val="24"/>
                <w:szCs w:val="24"/>
              </w:rPr>
              <w:t xml:space="preserve">North Sea Net Gain, </w:t>
            </w:r>
            <w:r w:rsidRPr="007C07C9">
              <w:rPr>
                <w:rFonts w:ascii="Times New Roman" w:hAnsi="Times New Roman"/>
                <w:color w:val="000000"/>
                <w:sz w:val="24"/>
                <w:szCs w:val="24"/>
              </w:rPr>
              <w:t xml:space="preserve">Offshore Wind Evidence and Change </w:t>
            </w:r>
            <w:proofErr w:type="spellStart"/>
            <w:r w:rsidRPr="007C07C9">
              <w:rPr>
                <w:rFonts w:ascii="Times New Roman" w:hAnsi="Times New Roman"/>
                <w:color w:val="000000"/>
                <w:sz w:val="24"/>
                <w:szCs w:val="24"/>
              </w:rPr>
              <w:t>Programme</w:t>
            </w:r>
            <w:proofErr w:type="spellEnd"/>
            <w:r w:rsidRPr="007C07C9">
              <w:rPr>
                <w:rFonts w:ascii="Times New Roman" w:hAnsi="Times New Roman"/>
                <w:color w:val="000000"/>
                <w:sz w:val="24"/>
                <w:szCs w:val="24"/>
              </w:rPr>
              <w:t xml:space="preserve"> (2022).</w:t>
            </w:r>
          </w:p>
        </w:tc>
        <w:tc>
          <w:tcPr>
            <w:tcW w:w="2880" w:type="dxa"/>
          </w:tcPr>
          <w:p w14:paraId="2F7D4CC2" w14:textId="77777777" w:rsidR="00D016A5" w:rsidRPr="007C07C9" w:rsidRDefault="00D016A5" w:rsidP="00494772">
            <w:pPr>
              <w:rPr>
                <w:rFonts w:ascii="Times New Roman" w:hAnsi="Times New Roman"/>
                <w:sz w:val="24"/>
                <w:szCs w:val="24"/>
              </w:rPr>
            </w:pPr>
            <w:r w:rsidRPr="007C07C9">
              <w:rPr>
                <w:rFonts w:ascii="Times New Roman" w:hAnsi="Times New Roman"/>
                <w:sz w:val="24"/>
                <w:szCs w:val="24"/>
              </w:rPr>
              <w:t xml:space="preserve">This North Sea Net Gain project generates data beyond national boundaries to improve understanding of the biodiversity of the seabed, to measure the success of various biodiversity strategies, and to support decision making. </w:t>
            </w:r>
          </w:p>
        </w:tc>
        <w:tc>
          <w:tcPr>
            <w:tcW w:w="2785" w:type="dxa"/>
          </w:tcPr>
          <w:p w14:paraId="74F670B6" w14:textId="77777777" w:rsidR="00D016A5" w:rsidRPr="007C07C9" w:rsidRDefault="00E36359" w:rsidP="00494772">
            <w:pPr>
              <w:rPr>
                <w:rFonts w:ascii="Times New Roman" w:hAnsi="Times New Roman"/>
                <w:sz w:val="24"/>
                <w:szCs w:val="24"/>
              </w:rPr>
            </w:pPr>
            <w:hyperlink r:id="rId19" w:history="1">
              <w:r w:rsidR="00D016A5" w:rsidRPr="007C07C9">
                <w:rPr>
                  <w:rStyle w:val="Hyperlink"/>
                  <w:rFonts w:ascii="Times New Roman" w:hAnsi="Times New Roman"/>
                  <w:sz w:val="24"/>
                  <w:szCs w:val="24"/>
                </w:rPr>
                <w:t xml:space="preserve">2022, The Crown Estate, De </w:t>
              </w:r>
              <w:proofErr w:type="spellStart"/>
              <w:r w:rsidR="00D016A5" w:rsidRPr="007C07C9">
                <w:rPr>
                  <w:rStyle w:val="Hyperlink"/>
                  <w:rFonts w:ascii="Times New Roman" w:hAnsi="Times New Roman"/>
                  <w:sz w:val="24"/>
                  <w:szCs w:val="24"/>
                </w:rPr>
                <w:t>Rijke</w:t>
              </w:r>
              <w:proofErr w:type="spellEnd"/>
              <w:r w:rsidR="00D016A5" w:rsidRPr="007C07C9">
                <w:rPr>
                  <w:rStyle w:val="Hyperlink"/>
                  <w:rFonts w:ascii="Times New Roman" w:hAnsi="Times New Roman"/>
                  <w:sz w:val="24"/>
                  <w:szCs w:val="24"/>
                </w:rPr>
                <w:t xml:space="preserve"> </w:t>
              </w:r>
              <w:proofErr w:type="spellStart"/>
              <w:r w:rsidR="00D016A5" w:rsidRPr="007C07C9">
                <w:rPr>
                  <w:rStyle w:val="Hyperlink"/>
                  <w:rFonts w:ascii="Times New Roman" w:hAnsi="Times New Roman"/>
                  <w:sz w:val="24"/>
                  <w:szCs w:val="24"/>
                </w:rPr>
                <w:t>Noordzee</w:t>
              </w:r>
              <w:proofErr w:type="spellEnd"/>
              <w:r w:rsidR="00D016A5" w:rsidRPr="007C07C9">
                <w:rPr>
                  <w:rStyle w:val="Hyperlink"/>
                  <w:rFonts w:ascii="Times New Roman" w:hAnsi="Times New Roman"/>
                  <w:sz w:val="24"/>
                  <w:szCs w:val="24"/>
                </w:rPr>
                <w:t xml:space="preserve">, </w:t>
              </w:r>
              <w:proofErr w:type="spellStart"/>
              <w:r w:rsidR="00D016A5" w:rsidRPr="007C07C9">
                <w:rPr>
                  <w:rStyle w:val="Hyperlink"/>
                  <w:rFonts w:ascii="Times New Roman" w:hAnsi="Times New Roman"/>
                  <w:sz w:val="24"/>
                  <w:szCs w:val="24"/>
                </w:rPr>
                <w:t>Cefas</w:t>
              </w:r>
              <w:proofErr w:type="spellEnd"/>
              <w:r w:rsidR="00D016A5" w:rsidRPr="007C07C9">
                <w:rPr>
                  <w:rStyle w:val="Hyperlink"/>
                  <w:rFonts w:ascii="Times New Roman" w:hAnsi="Times New Roman"/>
                  <w:sz w:val="24"/>
                  <w:szCs w:val="24"/>
                </w:rPr>
                <w:t xml:space="preserve">, Flanders Marine Institute, Offshore Wind Evidence and Change </w:t>
              </w:r>
              <w:proofErr w:type="spellStart"/>
              <w:r w:rsidR="00D016A5" w:rsidRPr="007C07C9">
                <w:rPr>
                  <w:rStyle w:val="Hyperlink"/>
                  <w:rFonts w:ascii="Times New Roman" w:hAnsi="Times New Roman"/>
                  <w:sz w:val="24"/>
                  <w:szCs w:val="24"/>
                </w:rPr>
                <w:t>Programme</w:t>
              </w:r>
              <w:proofErr w:type="spellEnd"/>
              <w:r w:rsidR="00D016A5" w:rsidRPr="007C07C9">
                <w:rPr>
                  <w:rStyle w:val="Hyperlink"/>
                  <w:rFonts w:ascii="Times New Roman" w:hAnsi="Times New Roman"/>
                  <w:sz w:val="24"/>
                  <w:szCs w:val="24"/>
                </w:rPr>
                <w:t>, North Sea Net Gain Project | Marine Data Exchange</w:t>
              </w:r>
            </w:hyperlink>
          </w:p>
          <w:p w14:paraId="2D4EE5D6" w14:textId="77777777" w:rsidR="00D016A5" w:rsidRPr="007C07C9" w:rsidRDefault="00D016A5" w:rsidP="00494772">
            <w:pPr>
              <w:rPr>
                <w:rFonts w:ascii="Times New Roman" w:hAnsi="Times New Roman"/>
                <w:sz w:val="24"/>
                <w:szCs w:val="24"/>
              </w:rPr>
            </w:pPr>
          </w:p>
          <w:p w14:paraId="46D415FD" w14:textId="77777777" w:rsidR="00D016A5" w:rsidRPr="007C07C9" w:rsidRDefault="00D016A5" w:rsidP="00494772">
            <w:pPr>
              <w:rPr>
                <w:rFonts w:ascii="Times New Roman" w:hAnsi="Times New Roman"/>
                <w:sz w:val="24"/>
                <w:szCs w:val="24"/>
              </w:rPr>
            </w:pPr>
            <w:r w:rsidRPr="007C07C9">
              <w:rPr>
                <w:rFonts w:ascii="Times New Roman" w:hAnsi="Times New Roman"/>
                <w:sz w:val="24"/>
                <w:szCs w:val="24"/>
              </w:rPr>
              <w:t>Select the North Sea Net Gain Report (available as a pdf).</w:t>
            </w:r>
          </w:p>
        </w:tc>
      </w:tr>
      <w:tr w:rsidR="00D016A5" w:rsidRPr="007C07C9" w14:paraId="3409D535" w14:textId="77777777" w:rsidTr="00D016A5">
        <w:trPr>
          <w:trHeight w:val="1520"/>
        </w:trPr>
        <w:tc>
          <w:tcPr>
            <w:tcW w:w="3685" w:type="dxa"/>
          </w:tcPr>
          <w:p w14:paraId="5F6F987B" w14:textId="77777777" w:rsidR="00D016A5" w:rsidRPr="007C07C9" w:rsidRDefault="00D016A5" w:rsidP="00494772">
            <w:pPr>
              <w:pStyle w:val="Heading1"/>
              <w:shd w:val="clear" w:color="auto" w:fill="FFFFFF"/>
              <w:spacing w:before="0"/>
              <w:textAlignment w:val="baseline"/>
              <w:outlineLvl w:val="0"/>
              <w:rPr>
                <w:rFonts w:ascii="Times New Roman" w:hAnsi="Times New Roman" w:cs="Times New Roman"/>
                <w:b/>
                <w:bCs/>
                <w:i/>
                <w:iCs/>
                <w:color w:val="022652"/>
                <w:spacing w:val="-10"/>
                <w:sz w:val="24"/>
                <w:szCs w:val="24"/>
              </w:rPr>
            </w:pPr>
            <w:r w:rsidRPr="007C07C9">
              <w:rPr>
                <w:rFonts w:ascii="Times New Roman" w:hAnsi="Times New Roman" w:cs="Times New Roman"/>
                <w:color w:val="000000"/>
                <w:sz w:val="24"/>
                <w:szCs w:val="24"/>
              </w:rPr>
              <w:t xml:space="preserve">Cousins et al., </w:t>
            </w:r>
            <w:proofErr w:type="spellStart"/>
            <w:r w:rsidRPr="007C07C9">
              <w:rPr>
                <w:rFonts w:ascii="Times New Roman" w:hAnsi="Times New Roman" w:cs="Times New Roman"/>
                <w:color w:val="000000"/>
                <w:sz w:val="24"/>
                <w:szCs w:val="24"/>
              </w:rPr>
              <w:t>Bluedot</w:t>
            </w:r>
            <w:proofErr w:type="spellEnd"/>
            <w:r w:rsidRPr="007C07C9">
              <w:rPr>
                <w:rFonts w:ascii="Times New Roman" w:hAnsi="Times New Roman" w:cs="Times New Roman"/>
                <w:color w:val="000000"/>
                <w:sz w:val="24"/>
                <w:szCs w:val="24"/>
              </w:rPr>
              <w:t xml:space="preserve"> Associates, </w:t>
            </w:r>
            <w:r w:rsidRPr="007C07C9">
              <w:rPr>
                <w:rFonts w:ascii="Times New Roman" w:hAnsi="Times New Roman" w:cs="Times New Roman"/>
                <w:i/>
                <w:iCs/>
                <w:color w:val="000000"/>
                <w:sz w:val="24"/>
                <w:szCs w:val="24"/>
              </w:rPr>
              <w:t xml:space="preserve">A Guiding Framework to Support </w:t>
            </w:r>
            <w:proofErr w:type="spellStart"/>
            <w:r w:rsidRPr="007C07C9">
              <w:rPr>
                <w:rFonts w:ascii="Times New Roman" w:hAnsi="Times New Roman" w:cs="Times New Roman"/>
                <w:i/>
                <w:iCs/>
                <w:color w:val="000000"/>
                <w:sz w:val="24"/>
                <w:szCs w:val="24"/>
              </w:rPr>
              <w:t>Organisations</w:t>
            </w:r>
            <w:proofErr w:type="spellEnd"/>
            <w:r w:rsidRPr="007C07C9">
              <w:rPr>
                <w:rFonts w:ascii="Times New Roman" w:hAnsi="Times New Roman" w:cs="Times New Roman"/>
                <w:i/>
                <w:iCs/>
                <w:color w:val="000000"/>
                <w:sz w:val="24"/>
                <w:szCs w:val="24"/>
              </w:rPr>
              <w:t xml:space="preserve"> to Deliver Net Gains for Marine Biodiversity </w:t>
            </w:r>
            <w:r w:rsidRPr="007C07C9">
              <w:rPr>
                <w:rFonts w:ascii="Times New Roman" w:hAnsi="Times New Roman" w:cs="Times New Roman"/>
                <w:color w:val="000000"/>
                <w:sz w:val="24"/>
                <w:szCs w:val="24"/>
              </w:rPr>
              <w:t>(2023).</w:t>
            </w:r>
          </w:p>
          <w:p w14:paraId="5739A0AA" w14:textId="77777777" w:rsidR="00D016A5" w:rsidRPr="007C07C9" w:rsidRDefault="00D016A5" w:rsidP="00494772">
            <w:pPr>
              <w:rPr>
                <w:rFonts w:ascii="Times New Roman" w:hAnsi="Times New Roman"/>
                <w:color w:val="000000"/>
                <w:sz w:val="24"/>
                <w:szCs w:val="24"/>
              </w:rPr>
            </w:pPr>
          </w:p>
        </w:tc>
        <w:tc>
          <w:tcPr>
            <w:tcW w:w="2880" w:type="dxa"/>
          </w:tcPr>
          <w:p w14:paraId="58D58EDF" w14:textId="77777777" w:rsidR="00D016A5" w:rsidRPr="007C07C9" w:rsidRDefault="00D016A5" w:rsidP="00494772">
            <w:pPr>
              <w:rPr>
                <w:rFonts w:ascii="Times New Roman" w:hAnsi="Times New Roman"/>
                <w:sz w:val="24"/>
                <w:szCs w:val="24"/>
              </w:rPr>
            </w:pPr>
            <w:r w:rsidRPr="007C07C9">
              <w:rPr>
                <w:rFonts w:ascii="Times New Roman" w:hAnsi="Times New Roman"/>
                <w:sz w:val="24"/>
                <w:szCs w:val="24"/>
                <w:lang w:val="en-GB"/>
              </w:rPr>
              <w:t xml:space="preserve">Article that sets out a guiding framework to help organisations deliver marine net gains. </w:t>
            </w:r>
          </w:p>
        </w:tc>
        <w:tc>
          <w:tcPr>
            <w:tcW w:w="2785" w:type="dxa"/>
          </w:tcPr>
          <w:p w14:paraId="13D6D72F" w14:textId="77777777" w:rsidR="00D016A5" w:rsidRPr="007C07C9" w:rsidRDefault="00E36359" w:rsidP="00494772">
            <w:pPr>
              <w:rPr>
                <w:rFonts w:ascii="Times New Roman" w:hAnsi="Times New Roman"/>
                <w:sz w:val="24"/>
                <w:szCs w:val="24"/>
                <w:lang w:val="en-GB"/>
              </w:rPr>
            </w:pPr>
            <w:hyperlink r:id="rId20" w:history="1">
              <w:r w:rsidR="00D016A5" w:rsidRPr="007C07C9">
                <w:rPr>
                  <w:rStyle w:val="Hyperlink"/>
                  <w:rFonts w:ascii="Times New Roman" w:hAnsi="Times New Roman"/>
                  <w:sz w:val="24"/>
                  <w:szCs w:val="24"/>
                  <w:lang w:val="en-GB"/>
                </w:rPr>
                <w:t>https://bluedotassociates.com/a-guiding-framework-to-support-organisations-to-deliver-net-gains-for-marine-biodiversity/</w:t>
              </w:r>
            </w:hyperlink>
          </w:p>
        </w:tc>
      </w:tr>
      <w:tr w:rsidR="00D016A5" w:rsidRPr="007C07C9" w14:paraId="53EE0EEB" w14:textId="77777777" w:rsidTr="00D016A5">
        <w:trPr>
          <w:trHeight w:val="3509"/>
        </w:trPr>
        <w:tc>
          <w:tcPr>
            <w:tcW w:w="3685" w:type="dxa"/>
          </w:tcPr>
          <w:p w14:paraId="2900C29B" w14:textId="77777777" w:rsidR="00D016A5" w:rsidRPr="007C07C9" w:rsidRDefault="00D016A5" w:rsidP="001E3ACD">
            <w:pPr>
              <w:rPr>
                <w:rFonts w:ascii="Times New Roman" w:hAnsi="Times New Roman"/>
                <w:color w:val="000000"/>
                <w:sz w:val="24"/>
                <w:szCs w:val="24"/>
              </w:rPr>
            </w:pPr>
            <w:proofErr w:type="spellStart"/>
            <w:r w:rsidRPr="007C07C9">
              <w:rPr>
                <w:rFonts w:ascii="Times New Roman" w:hAnsi="Times New Roman"/>
                <w:color w:val="000000"/>
                <w:sz w:val="24"/>
                <w:szCs w:val="24"/>
              </w:rPr>
              <w:t>Croll</w:t>
            </w:r>
            <w:proofErr w:type="spellEnd"/>
            <w:r w:rsidRPr="007C07C9">
              <w:rPr>
                <w:rFonts w:ascii="Times New Roman" w:hAnsi="Times New Roman"/>
                <w:color w:val="000000"/>
                <w:sz w:val="24"/>
                <w:szCs w:val="24"/>
              </w:rPr>
              <w:t xml:space="preserve"> et al., </w:t>
            </w:r>
            <w:r w:rsidRPr="007C07C9">
              <w:rPr>
                <w:rFonts w:ascii="Times New Roman" w:hAnsi="Times New Roman"/>
                <w:i/>
                <w:iCs/>
                <w:color w:val="000000"/>
                <w:sz w:val="24"/>
                <w:szCs w:val="24"/>
              </w:rPr>
              <w:t>Framework for assessing and mitigating the impacts of offshore wind energy development on marine birds</w:t>
            </w:r>
            <w:r w:rsidRPr="007C07C9">
              <w:rPr>
                <w:rFonts w:ascii="Times New Roman" w:hAnsi="Times New Roman"/>
                <w:color w:val="000000"/>
                <w:sz w:val="24"/>
                <w:szCs w:val="24"/>
              </w:rPr>
              <w:t>, 276 Biological Conservation 109795 (2022).</w:t>
            </w:r>
          </w:p>
          <w:p w14:paraId="1D368575" w14:textId="77777777" w:rsidR="00D016A5" w:rsidRPr="007C07C9" w:rsidRDefault="00D016A5" w:rsidP="001E3ACD">
            <w:pPr>
              <w:rPr>
                <w:rFonts w:ascii="Times New Roman" w:hAnsi="Times New Roman"/>
                <w:color w:val="000000"/>
                <w:sz w:val="24"/>
                <w:szCs w:val="24"/>
              </w:rPr>
            </w:pPr>
          </w:p>
        </w:tc>
        <w:tc>
          <w:tcPr>
            <w:tcW w:w="2880" w:type="dxa"/>
          </w:tcPr>
          <w:p w14:paraId="4FAAA87A" w14:textId="77777777" w:rsidR="00D016A5" w:rsidRPr="007C07C9" w:rsidRDefault="00D016A5" w:rsidP="001E3ACD">
            <w:pPr>
              <w:rPr>
                <w:rFonts w:ascii="Times New Roman" w:hAnsi="Times New Roman"/>
                <w:sz w:val="24"/>
                <w:szCs w:val="24"/>
              </w:rPr>
            </w:pPr>
            <w:r w:rsidRPr="007C07C9">
              <w:rPr>
                <w:rFonts w:ascii="Times New Roman" w:hAnsi="Times New Roman"/>
                <w:sz w:val="24"/>
                <w:szCs w:val="24"/>
              </w:rPr>
              <w:t xml:space="preserve">Outlines existing techniques to quantify impact to marine birds from offshore wind via monitoring and modeling (e.g., collision risk models, population viability analysis), and presents a mitigation framework to avoid, minimize, or compensate for </w:t>
            </w:r>
          </w:p>
          <w:p w14:paraId="610E3B64" w14:textId="77777777" w:rsidR="00D016A5" w:rsidRPr="007C07C9" w:rsidRDefault="00D016A5" w:rsidP="001E3ACD">
            <w:pPr>
              <w:rPr>
                <w:rFonts w:ascii="Times New Roman" w:hAnsi="Times New Roman"/>
                <w:sz w:val="24"/>
                <w:szCs w:val="24"/>
              </w:rPr>
            </w:pPr>
            <w:r w:rsidRPr="007C07C9">
              <w:rPr>
                <w:rFonts w:ascii="Times New Roman" w:hAnsi="Times New Roman"/>
                <w:sz w:val="24"/>
                <w:szCs w:val="24"/>
              </w:rPr>
              <w:t xml:space="preserve">impacts. </w:t>
            </w:r>
          </w:p>
        </w:tc>
        <w:tc>
          <w:tcPr>
            <w:tcW w:w="2785" w:type="dxa"/>
          </w:tcPr>
          <w:p w14:paraId="7A095AD1" w14:textId="77777777" w:rsidR="00D016A5" w:rsidRPr="007C07C9" w:rsidRDefault="00E36359" w:rsidP="001E3ACD">
            <w:pPr>
              <w:rPr>
                <w:rFonts w:ascii="Times New Roman" w:hAnsi="Times New Roman"/>
                <w:sz w:val="24"/>
                <w:szCs w:val="24"/>
              </w:rPr>
            </w:pPr>
            <w:hyperlink r:id="rId21" w:history="1">
              <w:r w:rsidR="00D016A5" w:rsidRPr="007C07C9">
                <w:rPr>
                  <w:rStyle w:val="Hyperlink"/>
                  <w:rFonts w:ascii="Times New Roman" w:hAnsi="Times New Roman"/>
                  <w:sz w:val="24"/>
                  <w:szCs w:val="24"/>
                </w:rPr>
                <w:t>Framework for assessing and mitigating the impacts of offshore wind energy development on marine birds - ScienceDirect</w:t>
              </w:r>
            </w:hyperlink>
          </w:p>
        </w:tc>
      </w:tr>
    </w:tbl>
    <w:p w14:paraId="5CDFF0D4" w14:textId="77777777" w:rsidR="00D016A5" w:rsidRPr="007C07C9" w:rsidRDefault="00D016A5" w:rsidP="00494772">
      <w:pPr>
        <w:rPr>
          <w:color w:val="000000"/>
        </w:rPr>
        <w:sectPr w:rsidR="00D016A5" w:rsidRPr="007C07C9" w:rsidSect="0078713B">
          <w:footerReference w:type="default" r:id="rId22"/>
          <w:pgSz w:w="12240" w:h="15840"/>
          <w:pgMar w:top="720" w:right="1440" w:bottom="720" w:left="1440" w:header="720" w:footer="720" w:gutter="0"/>
          <w:cols w:space="720"/>
          <w:docGrid w:linePitch="360"/>
        </w:sectPr>
      </w:pPr>
    </w:p>
    <w:tbl>
      <w:tblPr>
        <w:tblStyle w:val="TableGrid"/>
        <w:tblW w:w="0" w:type="auto"/>
        <w:tblLayout w:type="fixed"/>
        <w:tblLook w:val="04A0" w:firstRow="1" w:lastRow="0" w:firstColumn="1" w:lastColumn="0" w:noHBand="0" w:noVBand="1"/>
      </w:tblPr>
      <w:tblGrid>
        <w:gridCol w:w="3685"/>
        <w:gridCol w:w="2880"/>
        <w:gridCol w:w="2785"/>
      </w:tblGrid>
      <w:tr w:rsidR="00D016A5" w:rsidRPr="007C07C9" w14:paraId="6E53DF4F" w14:textId="77777777" w:rsidTr="00D016A5">
        <w:trPr>
          <w:trHeight w:val="2609"/>
        </w:trPr>
        <w:tc>
          <w:tcPr>
            <w:tcW w:w="3685" w:type="dxa"/>
          </w:tcPr>
          <w:p w14:paraId="097532CE" w14:textId="77777777" w:rsidR="00D016A5" w:rsidRPr="007C07C9" w:rsidRDefault="00D016A5" w:rsidP="00494772">
            <w:pPr>
              <w:rPr>
                <w:rFonts w:ascii="Times New Roman" w:hAnsi="Times New Roman"/>
                <w:color w:val="000000"/>
                <w:sz w:val="24"/>
                <w:szCs w:val="24"/>
              </w:rPr>
            </w:pPr>
            <w:proofErr w:type="spellStart"/>
            <w:r w:rsidRPr="007C07C9">
              <w:rPr>
                <w:rFonts w:ascii="Times New Roman" w:hAnsi="Times New Roman"/>
                <w:color w:val="000000"/>
                <w:sz w:val="24"/>
                <w:szCs w:val="24"/>
              </w:rPr>
              <w:lastRenderedPageBreak/>
              <w:t>Dep't</w:t>
            </w:r>
            <w:proofErr w:type="spellEnd"/>
            <w:r w:rsidRPr="007C07C9">
              <w:rPr>
                <w:rFonts w:ascii="Times New Roman" w:hAnsi="Times New Roman"/>
                <w:color w:val="000000"/>
                <w:sz w:val="24"/>
                <w:szCs w:val="24"/>
              </w:rPr>
              <w:t xml:space="preserve"> for Env't Food &amp; Rural </w:t>
            </w:r>
            <w:proofErr w:type="spellStart"/>
            <w:r w:rsidRPr="007C07C9">
              <w:rPr>
                <w:rFonts w:ascii="Times New Roman" w:hAnsi="Times New Roman"/>
                <w:color w:val="000000"/>
                <w:sz w:val="24"/>
                <w:szCs w:val="24"/>
              </w:rPr>
              <w:t>Aff</w:t>
            </w:r>
            <w:proofErr w:type="spellEnd"/>
            <w:r w:rsidRPr="007C07C9">
              <w:rPr>
                <w:rFonts w:ascii="Times New Roman" w:hAnsi="Times New Roman"/>
                <w:color w:val="000000"/>
                <w:sz w:val="24"/>
                <w:szCs w:val="24"/>
              </w:rPr>
              <w:t xml:space="preserve">., </w:t>
            </w:r>
            <w:r w:rsidRPr="007C07C9">
              <w:rPr>
                <w:rFonts w:ascii="Times New Roman" w:hAnsi="Times New Roman"/>
                <w:i/>
                <w:iCs/>
                <w:color w:val="000000"/>
                <w:sz w:val="24"/>
                <w:szCs w:val="24"/>
              </w:rPr>
              <w:t>Marine Net Gain: Consultation on the Principles of Marine Net Gain</w:t>
            </w:r>
            <w:r w:rsidRPr="007C07C9">
              <w:rPr>
                <w:rFonts w:ascii="Times New Roman" w:hAnsi="Times New Roman"/>
                <w:color w:val="000000"/>
                <w:sz w:val="24"/>
                <w:szCs w:val="24"/>
              </w:rPr>
              <w:t xml:space="preserve"> (2022).</w:t>
            </w:r>
          </w:p>
        </w:tc>
        <w:tc>
          <w:tcPr>
            <w:tcW w:w="2880" w:type="dxa"/>
          </w:tcPr>
          <w:p w14:paraId="702AC0BB" w14:textId="77777777" w:rsidR="00D016A5" w:rsidRPr="007C07C9" w:rsidRDefault="00D016A5" w:rsidP="00494772">
            <w:pPr>
              <w:rPr>
                <w:rFonts w:ascii="Times New Roman" w:hAnsi="Times New Roman"/>
                <w:sz w:val="24"/>
                <w:szCs w:val="24"/>
              </w:rPr>
            </w:pPr>
            <w:r w:rsidRPr="007C07C9">
              <w:rPr>
                <w:rFonts w:ascii="Times New Roman" w:hAnsi="Times New Roman"/>
                <w:sz w:val="24"/>
                <w:szCs w:val="24"/>
              </w:rPr>
              <w:t xml:space="preserve">The consultation is designed to inform how to introduce a net gain approach in marine projects in the UK.  It differentiates between marine net gain and biodiversity net gain.  </w:t>
            </w:r>
          </w:p>
        </w:tc>
        <w:tc>
          <w:tcPr>
            <w:tcW w:w="2785" w:type="dxa"/>
          </w:tcPr>
          <w:p w14:paraId="3330B31B" w14:textId="77777777" w:rsidR="00D016A5" w:rsidRPr="007C07C9" w:rsidRDefault="00E36359" w:rsidP="00494772">
            <w:pPr>
              <w:rPr>
                <w:rFonts w:ascii="Times New Roman" w:hAnsi="Times New Roman"/>
                <w:sz w:val="24"/>
                <w:szCs w:val="24"/>
              </w:rPr>
            </w:pPr>
            <w:hyperlink r:id="rId23" w:history="1">
              <w:r w:rsidR="00D016A5" w:rsidRPr="007C07C9">
                <w:rPr>
                  <w:rStyle w:val="Hyperlink"/>
                  <w:rFonts w:ascii="Times New Roman" w:hAnsi="Times New Roman"/>
                  <w:sz w:val="24"/>
                  <w:szCs w:val="24"/>
                </w:rPr>
                <w:t>https://consult.defra.gov.uk/defra-net-gain-consultation-team/consultation-on-the-principles-of-marine-net-gain/supporting_documents/Consultation on the Principles of Marine Net Gain.pdf</w:t>
              </w:r>
            </w:hyperlink>
          </w:p>
        </w:tc>
      </w:tr>
      <w:tr w:rsidR="00D016A5" w:rsidRPr="007C07C9" w14:paraId="52F98C8A" w14:textId="77777777" w:rsidTr="00D016A5">
        <w:trPr>
          <w:trHeight w:val="1241"/>
        </w:trPr>
        <w:tc>
          <w:tcPr>
            <w:tcW w:w="3685" w:type="dxa"/>
          </w:tcPr>
          <w:p w14:paraId="22AAC500" w14:textId="77777777" w:rsidR="00D016A5" w:rsidRPr="007C07C9" w:rsidRDefault="00D016A5" w:rsidP="00494772">
            <w:pPr>
              <w:rPr>
                <w:rFonts w:ascii="Times New Roman" w:hAnsi="Times New Roman"/>
                <w:sz w:val="24"/>
                <w:szCs w:val="24"/>
              </w:rPr>
            </w:pPr>
            <w:r w:rsidRPr="007C07C9">
              <w:rPr>
                <w:rFonts w:ascii="Times New Roman" w:hAnsi="Times New Roman"/>
                <w:sz w:val="24"/>
                <w:szCs w:val="24"/>
              </w:rPr>
              <w:t xml:space="preserve">Deutz et al., </w:t>
            </w:r>
            <w:r w:rsidRPr="007C07C9">
              <w:rPr>
                <w:rFonts w:ascii="Times New Roman" w:hAnsi="Times New Roman"/>
                <w:i/>
                <w:iCs/>
                <w:sz w:val="24"/>
                <w:szCs w:val="24"/>
              </w:rPr>
              <w:t>Financing Nature: Closing the Global Biodiversity Financial Gap</w:t>
            </w:r>
            <w:r w:rsidRPr="007C07C9">
              <w:rPr>
                <w:rFonts w:ascii="Times New Roman" w:hAnsi="Times New Roman"/>
                <w:sz w:val="24"/>
                <w:szCs w:val="24"/>
              </w:rPr>
              <w:t xml:space="preserve"> (2020)</w:t>
            </w:r>
          </w:p>
        </w:tc>
        <w:tc>
          <w:tcPr>
            <w:tcW w:w="2880" w:type="dxa"/>
          </w:tcPr>
          <w:p w14:paraId="0C5448AD" w14:textId="77777777" w:rsidR="00D016A5" w:rsidRPr="007C07C9" w:rsidRDefault="00D016A5" w:rsidP="00494772">
            <w:pPr>
              <w:rPr>
                <w:rFonts w:ascii="Times New Roman" w:hAnsi="Times New Roman"/>
                <w:sz w:val="24"/>
                <w:szCs w:val="24"/>
              </w:rPr>
            </w:pPr>
            <w:r w:rsidRPr="007C07C9">
              <w:rPr>
                <w:rStyle w:val="markedcontent"/>
                <w:rFonts w:ascii="Times New Roman" w:hAnsi="Times New Roman"/>
                <w:sz w:val="24"/>
                <w:szCs w:val="24"/>
                <w:shd w:val="clear" w:color="auto" w:fill="FFFFFF"/>
              </w:rPr>
              <w:t>Discusses approaches to implementing biodiversity offset programs to achieve net gain outcomes.</w:t>
            </w:r>
          </w:p>
        </w:tc>
        <w:tc>
          <w:tcPr>
            <w:tcW w:w="2785" w:type="dxa"/>
          </w:tcPr>
          <w:p w14:paraId="1874C6C1" w14:textId="77777777" w:rsidR="00D016A5" w:rsidRPr="007C07C9" w:rsidRDefault="00E36359" w:rsidP="00494772">
            <w:pPr>
              <w:rPr>
                <w:rFonts w:ascii="Times New Roman" w:hAnsi="Times New Roman"/>
                <w:sz w:val="24"/>
                <w:szCs w:val="24"/>
              </w:rPr>
            </w:pPr>
            <w:hyperlink r:id="rId24" w:history="1">
              <w:r w:rsidR="00D016A5" w:rsidRPr="007C07C9">
                <w:rPr>
                  <w:rStyle w:val="Hyperlink"/>
                  <w:rFonts w:ascii="Times New Roman" w:hAnsi="Times New Roman"/>
                  <w:sz w:val="24"/>
                  <w:szCs w:val="24"/>
                </w:rPr>
                <w:t>Financing Nature: Closing the Global Biodiversity Financing Gap - Paulson Institute</w:t>
              </w:r>
            </w:hyperlink>
          </w:p>
        </w:tc>
      </w:tr>
      <w:tr w:rsidR="00D016A5" w:rsidRPr="007C07C9" w14:paraId="0ABEEEDF" w14:textId="77777777" w:rsidTr="00494772">
        <w:tc>
          <w:tcPr>
            <w:tcW w:w="3685" w:type="dxa"/>
          </w:tcPr>
          <w:p w14:paraId="4A916D56" w14:textId="77777777" w:rsidR="00D016A5" w:rsidRPr="007C07C9" w:rsidRDefault="00D016A5" w:rsidP="00494772">
            <w:pPr>
              <w:rPr>
                <w:rFonts w:ascii="Times New Roman" w:hAnsi="Times New Roman"/>
                <w:color w:val="000000"/>
                <w:sz w:val="24"/>
                <w:szCs w:val="24"/>
              </w:rPr>
            </w:pPr>
            <w:r w:rsidRPr="007C07C9">
              <w:rPr>
                <w:rFonts w:ascii="Times New Roman" w:hAnsi="Times New Roman"/>
                <w:color w:val="000000"/>
                <w:sz w:val="24"/>
                <w:szCs w:val="24"/>
              </w:rPr>
              <w:t xml:space="preserve">Hall et al., </w:t>
            </w:r>
            <w:r w:rsidRPr="007C07C9">
              <w:rPr>
                <w:rFonts w:ascii="Times New Roman" w:hAnsi="Times New Roman"/>
                <w:i/>
                <w:iCs/>
                <w:color w:val="000000"/>
                <w:sz w:val="24"/>
                <w:szCs w:val="24"/>
              </w:rPr>
              <w:t>Environmental Impact Assessment for the Decommissioning of Offshore Wind Farms</w:t>
            </w:r>
            <w:r w:rsidRPr="007C07C9">
              <w:rPr>
                <w:rFonts w:ascii="Times New Roman" w:hAnsi="Times New Roman"/>
                <w:color w:val="000000"/>
                <w:sz w:val="24"/>
                <w:szCs w:val="24"/>
              </w:rPr>
              <w:t>, 165 Renewable and Sustainable Energy Revs. 112580 (2022).</w:t>
            </w:r>
          </w:p>
          <w:p w14:paraId="481C68F7" w14:textId="77777777" w:rsidR="00D016A5" w:rsidRPr="007C07C9" w:rsidRDefault="00D016A5" w:rsidP="00494772">
            <w:pPr>
              <w:rPr>
                <w:rFonts w:ascii="Times New Roman" w:hAnsi="Times New Roman"/>
                <w:sz w:val="24"/>
                <w:szCs w:val="24"/>
              </w:rPr>
            </w:pPr>
          </w:p>
        </w:tc>
        <w:tc>
          <w:tcPr>
            <w:tcW w:w="2880" w:type="dxa"/>
          </w:tcPr>
          <w:p w14:paraId="04F394B7" w14:textId="77777777" w:rsidR="00D016A5" w:rsidRPr="007C07C9" w:rsidRDefault="00D016A5" w:rsidP="00494772">
            <w:pPr>
              <w:rPr>
                <w:rFonts w:ascii="Times New Roman" w:hAnsi="Times New Roman"/>
                <w:color w:val="000000"/>
                <w:sz w:val="24"/>
                <w:szCs w:val="24"/>
              </w:rPr>
            </w:pPr>
            <w:r w:rsidRPr="007C07C9">
              <w:rPr>
                <w:rFonts w:ascii="Times New Roman" w:hAnsi="Times New Roman"/>
                <w:color w:val="000000"/>
                <w:sz w:val="24"/>
                <w:szCs w:val="24"/>
              </w:rPr>
              <w:t xml:space="preserve">Addresses the underwater artificial structures associated with offshore wind farms and end-of-life alternative actions. </w:t>
            </w:r>
          </w:p>
          <w:p w14:paraId="0F9CE0D0" w14:textId="77777777" w:rsidR="00D016A5" w:rsidRPr="007C07C9" w:rsidRDefault="00D016A5" w:rsidP="00494772">
            <w:pPr>
              <w:rPr>
                <w:rFonts w:ascii="Times New Roman" w:hAnsi="Times New Roman"/>
                <w:color w:val="000000"/>
                <w:sz w:val="24"/>
                <w:szCs w:val="24"/>
              </w:rPr>
            </w:pPr>
          </w:p>
          <w:p w14:paraId="1069451C" w14:textId="77777777" w:rsidR="00D016A5" w:rsidRPr="007C07C9" w:rsidRDefault="00D016A5" w:rsidP="00494772">
            <w:pPr>
              <w:rPr>
                <w:rFonts w:ascii="Times New Roman" w:hAnsi="Times New Roman"/>
                <w:sz w:val="24"/>
                <w:szCs w:val="24"/>
              </w:rPr>
            </w:pPr>
          </w:p>
        </w:tc>
        <w:tc>
          <w:tcPr>
            <w:tcW w:w="2785" w:type="dxa"/>
          </w:tcPr>
          <w:p w14:paraId="318D09D5" w14:textId="77777777" w:rsidR="00D016A5" w:rsidRPr="007C07C9" w:rsidRDefault="00E36359" w:rsidP="00494772">
            <w:pPr>
              <w:rPr>
                <w:rFonts w:ascii="Times New Roman" w:hAnsi="Times New Roman"/>
                <w:sz w:val="24"/>
                <w:szCs w:val="24"/>
              </w:rPr>
            </w:pPr>
            <w:hyperlink r:id="rId25" w:history="1">
              <w:r w:rsidR="00D016A5" w:rsidRPr="007C07C9">
                <w:rPr>
                  <w:rStyle w:val="Hyperlink"/>
                  <w:rFonts w:ascii="Times New Roman" w:hAnsi="Times New Roman"/>
                  <w:sz w:val="24"/>
                  <w:szCs w:val="24"/>
                </w:rPr>
                <w:t>https://www.sciencedirect.com/science/article/pii/S1364032122004762?via%3Dihub</w:t>
              </w:r>
            </w:hyperlink>
          </w:p>
        </w:tc>
      </w:tr>
      <w:tr w:rsidR="00D016A5" w:rsidRPr="007C07C9" w14:paraId="6A62BEEB" w14:textId="77777777" w:rsidTr="00D016A5">
        <w:trPr>
          <w:trHeight w:val="4364"/>
        </w:trPr>
        <w:tc>
          <w:tcPr>
            <w:tcW w:w="3685" w:type="dxa"/>
          </w:tcPr>
          <w:p w14:paraId="1170C043" w14:textId="07BF4275" w:rsidR="00D016A5" w:rsidRPr="007C07C9" w:rsidRDefault="00D016A5" w:rsidP="00FB4A68">
            <w:pPr>
              <w:spacing w:after="240"/>
              <w:rPr>
                <w:rFonts w:ascii="Times New Roman" w:hAnsi="Times New Roman"/>
                <w:color w:val="000000"/>
                <w:sz w:val="24"/>
                <w:szCs w:val="24"/>
              </w:rPr>
            </w:pPr>
            <w:proofErr w:type="spellStart"/>
            <w:r w:rsidRPr="007C07C9">
              <w:rPr>
                <w:rFonts w:ascii="Times New Roman" w:hAnsi="Times New Roman"/>
                <w:i/>
                <w:iCs/>
                <w:sz w:val="24"/>
                <w:szCs w:val="24"/>
              </w:rPr>
              <w:t>Hollandse</w:t>
            </w:r>
            <w:proofErr w:type="spellEnd"/>
            <w:r w:rsidRPr="007C07C9">
              <w:rPr>
                <w:rFonts w:ascii="Times New Roman" w:hAnsi="Times New Roman"/>
                <w:i/>
                <w:iCs/>
                <w:sz w:val="24"/>
                <w:szCs w:val="24"/>
              </w:rPr>
              <w:t xml:space="preserve"> </w:t>
            </w:r>
            <w:proofErr w:type="spellStart"/>
            <w:r w:rsidRPr="007C07C9">
              <w:rPr>
                <w:rFonts w:ascii="Times New Roman" w:hAnsi="Times New Roman"/>
                <w:i/>
                <w:iCs/>
                <w:sz w:val="24"/>
                <w:szCs w:val="24"/>
              </w:rPr>
              <w:t>Kust</w:t>
            </w:r>
            <w:proofErr w:type="spellEnd"/>
            <w:r w:rsidRPr="007C07C9">
              <w:rPr>
                <w:rFonts w:ascii="Times New Roman" w:hAnsi="Times New Roman"/>
                <w:i/>
                <w:iCs/>
                <w:sz w:val="24"/>
                <w:szCs w:val="24"/>
              </w:rPr>
              <w:t xml:space="preserve"> (west)</w:t>
            </w:r>
            <w:r w:rsidR="007C07C9" w:rsidRPr="007C07C9">
              <w:rPr>
                <w:rFonts w:ascii="Times New Roman" w:hAnsi="Times New Roman"/>
                <w:i/>
                <w:iCs/>
                <w:sz w:val="24"/>
                <w:szCs w:val="24"/>
              </w:rPr>
              <w:t xml:space="preserve"> </w:t>
            </w:r>
            <w:r w:rsidR="00C9534E" w:rsidRPr="007C07C9">
              <w:rPr>
                <w:rFonts w:ascii="Times New Roman" w:hAnsi="Times New Roman"/>
                <w:i/>
                <w:iCs/>
                <w:sz w:val="24"/>
                <w:szCs w:val="24"/>
              </w:rPr>
              <w:t>Wind Farm Zone.</w:t>
            </w:r>
            <w:r w:rsidRPr="007C07C9">
              <w:rPr>
                <w:rFonts w:ascii="Times New Roman" w:hAnsi="Times New Roman"/>
                <w:i/>
                <w:iCs/>
                <w:sz w:val="24"/>
                <w:szCs w:val="24"/>
              </w:rPr>
              <w:t xml:space="preserve"> </w:t>
            </w:r>
            <w:r w:rsidR="00C9534E" w:rsidRPr="007C07C9">
              <w:rPr>
                <w:rFonts w:ascii="Times New Roman" w:hAnsi="Times New Roman"/>
                <w:sz w:val="24"/>
                <w:szCs w:val="24"/>
              </w:rPr>
              <w:t>T</w:t>
            </w:r>
            <w:r w:rsidRPr="007C07C9">
              <w:rPr>
                <w:rFonts w:ascii="Times New Roman" w:hAnsi="Times New Roman"/>
                <w:sz w:val="24"/>
                <w:szCs w:val="24"/>
              </w:rPr>
              <w:t>enders for Wind Farm Sites VI and VII in the Netherlands.</w:t>
            </w:r>
            <w:r w:rsidRPr="007C07C9">
              <w:rPr>
                <w:rFonts w:ascii="Times New Roman" w:hAnsi="Times New Roman"/>
                <w:sz w:val="24"/>
                <w:szCs w:val="24"/>
              </w:rPr>
              <w:br/>
            </w:r>
            <w:r w:rsidRPr="007C07C9">
              <w:rPr>
                <w:rFonts w:ascii="Times New Roman" w:hAnsi="Times New Roman"/>
                <w:sz w:val="24"/>
                <w:szCs w:val="24"/>
              </w:rPr>
              <w:br/>
            </w:r>
          </w:p>
        </w:tc>
        <w:tc>
          <w:tcPr>
            <w:tcW w:w="2880" w:type="dxa"/>
          </w:tcPr>
          <w:p w14:paraId="2D8C860F" w14:textId="77777777" w:rsidR="00D016A5" w:rsidRPr="007C07C9" w:rsidRDefault="00D016A5" w:rsidP="00FB4A68">
            <w:pPr>
              <w:rPr>
                <w:rFonts w:ascii="Times New Roman" w:hAnsi="Times New Roman"/>
                <w:color w:val="000000"/>
                <w:sz w:val="24"/>
                <w:szCs w:val="24"/>
              </w:rPr>
            </w:pPr>
            <w:r w:rsidRPr="007C07C9">
              <w:rPr>
                <w:rFonts w:ascii="Times New Roman" w:hAnsi="Times New Roman"/>
                <w:sz w:val="24"/>
                <w:szCs w:val="24"/>
              </w:rPr>
              <w:t>Text of the Ministerial Orders for Wind Farm Sites VI and VII. These include a set of minimum requirements and a set of qualitative criteria. The qualitative criteria are in practice distinctive for ecology (VI) and system integration (VII).</w:t>
            </w:r>
          </w:p>
        </w:tc>
        <w:tc>
          <w:tcPr>
            <w:tcW w:w="2785" w:type="dxa"/>
          </w:tcPr>
          <w:p w14:paraId="02FFBE60" w14:textId="77777777" w:rsidR="00D016A5" w:rsidRPr="007C07C9" w:rsidRDefault="00E36359" w:rsidP="00FB4A68">
            <w:pPr>
              <w:rPr>
                <w:rFonts w:ascii="Times New Roman" w:hAnsi="Times New Roman"/>
                <w:sz w:val="24"/>
                <w:szCs w:val="24"/>
              </w:rPr>
            </w:pPr>
            <w:hyperlink r:id="rId26" w:history="1">
              <w:r w:rsidR="00D016A5" w:rsidRPr="007C07C9">
                <w:rPr>
                  <w:rStyle w:val="Hyperlink"/>
                  <w:rFonts w:ascii="Times New Roman" w:hAnsi="Times New Roman"/>
                  <w:sz w:val="24"/>
                  <w:szCs w:val="24"/>
                </w:rPr>
                <w:t>https://offshorewind.rvo.nl/files/view/3b960c83-6a0c-4d19-9164-f10cdb77873f/1625051036hkw_20210630_project%20and%20site%20description-f.pdf</w:t>
              </w:r>
            </w:hyperlink>
          </w:p>
          <w:p w14:paraId="283722F2" w14:textId="77777777" w:rsidR="00D016A5" w:rsidRPr="007C07C9" w:rsidRDefault="00D016A5" w:rsidP="00FB4A68">
            <w:pPr>
              <w:rPr>
                <w:rFonts w:ascii="Times New Roman" w:hAnsi="Times New Roman"/>
                <w:sz w:val="24"/>
                <w:szCs w:val="24"/>
              </w:rPr>
            </w:pPr>
          </w:p>
          <w:p w14:paraId="66446EFD" w14:textId="77777777" w:rsidR="00D016A5" w:rsidRPr="007C07C9" w:rsidRDefault="00D016A5" w:rsidP="00FB4A68">
            <w:pPr>
              <w:rPr>
                <w:rFonts w:ascii="Times New Roman" w:hAnsi="Times New Roman"/>
                <w:sz w:val="24"/>
                <w:szCs w:val="24"/>
              </w:rPr>
            </w:pPr>
            <w:r w:rsidRPr="007C07C9">
              <w:rPr>
                <w:rFonts w:ascii="Times New Roman" w:hAnsi="Times New Roman"/>
                <w:sz w:val="24"/>
                <w:szCs w:val="24"/>
              </w:rPr>
              <w:t xml:space="preserve">Details to be found in Appendix A: </w:t>
            </w:r>
            <w:hyperlink r:id="rId27" w:history="1">
              <w:r w:rsidRPr="007C07C9">
                <w:rPr>
                  <w:rStyle w:val="Hyperlink"/>
                  <w:rFonts w:ascii="Times New Roman" w:hAnsi="Times New Roman"/>
                  <w:sz w:val="24"/>
                  <w:szCs w:val="24"/>
                </w:rPr>
                <w:t>https://offshorewind.rvo.nl/files/view/c85ef7b0-6229-4055-964b-9667164e4624/hkw_20220413_psd_appendix-a.pdf</w:t>
              </w:r>
            </w:hyperlink>
          </w:p>
        </w:tc>
      </w:tr>
    </w:tbl>
    <w:p w14:paraId="51F91D25" w14:textId="77777777" w:rsidR="00D016A5" w:rsidRPr="007C07C9" w:rsidRDefault="00D016A5" w:rsidP="00494772">
      <w:pPr>
        <w:spacing w:after="240"/>
        <w:rPr>
          <w:i/>
          <w:iCs/>
        </w:rPr>
        <w:sectPr w:rsidR="00D016A5" w:rsidRPr="007C07C9" w:rsidSect="0078713B">
          <w:footerReference w:type="default" r:id="rId28"/>
          <w:pgSz w:w="12240" w:h="15840"/>
          <w:pgMar w:top="720" w:right="1440" w:bottom="720" w:left="1440" w:header="720" w:footer="720" w:gutter="0"/>
          <w:cols w:space="720"/>
          <w:docGrid w:linePitch="360"/>
        </w:sectPr>
      </w:pPr>
    </w:p>
    <w:tbl>
      <w:tblPr>
        <w:tblStyle w:val="TableGrid"/>
        <w:tblW w:w="0" w:type="auto"/>
        <w:tblLayout w:type="fixed"/>
        <w:tblLook w:val="04A0" w:firstRow="1" w:lastRow="0" w:firstColumn="1" w:lastColumn="0" w:noHBand="0" w:noVBand="1"/>
      </w:tblPr>
      <w:tblGrid>
        <w:gridCol w:w="3685"/>
        <w:gridCol w:w="2880"/>
        <w:gridCol w:w="2785"/>
      </w:tblGrid>
      <w:tr w:rsidR="00D016A5" w:rsidRPr="007C07C9" w14:paraId="15A4078D" w14:textId="77777777" w:rsidTr="00494772">
        <w:tc>
          <w:tcPr>
            <w:tcW w:w="3685" w:type="dxa"/>
          </w:tcPr>
          <w:p w14:paraId="3E6C9EF0" w14:textId="77777777" w:rsidR="00D016A5" w:rsidRPr="007C07C9" w:rsidRDefault="00D016A5" w:rsidP="00494772">
            <w:pPr>
              <w:rPr>
                <w:rFonts w:ascii="Times New Roman" w:hAnsi="Times New Roman"/>
                <w:color w:val="000000"/>
                <w:sz w:val="24"/>
                <w:szCs w:val="24"/>
              </w:rPr>
            </w:pPr>
            <w:r w:rsidRPr="007C07C9">
              <w:rPr>
                <w:rFonts w:ascii="Times New Roman" w:hAnsi="Times New Roman"/>
                <w:color w:val="000000"/>
                <w:sz w:val="24"/>
                <w:szCs w:val="24"/>
              </w:rPr>
              <w:lastRenderedPageBreak/>
              <w:t xml:space="preserve">Hooper et al., </w:t>
            </w:r>
            <w:r w:rsidRPr="007C07C9">
              <w:rPr>
                <w:rFonts w:ascii="Times New Roman" w:hAnsi="Times New Roman"/>
                <w:i/>
                <w:iCs/>
                <w:color w:val="000000"/>
                <w:sz w:val="24"/>
                <w:szCs w:val="24"/>
              </w:rPr>
              <w:t>Developing Policy and Practice for Marine Net Gain</w:t>
            </w:r>
            <w:r w:rsidRPr="007C07C9">
              <w:rPr>
                <w:rFonts w:ascii="Times New Roman" w:hAnsi="Times New Roman"/>
                <w:color w:val="000000"/>
                <w:sz w:val="24"/>
                <w:szCs w:val="24"/>
              </w:rPr>
              <w:t xml:space="preserve">, 277 J. of </w:t>
            </w:r>
            <w:proofErr w:type="spellStart"/>
            <w:r w:rsidRPr="007C07C9">
              <w:rPr>
                <w:rFonts w:ascii="Times New Roman" w:hAnsi="Times New Roman"/>
                <w:color w:val="000000"/>
                <w:sz w:val="24"/>
                <w:szCs w:val="24"/>
              </w:rPr>
              <w:t>Envtl</w:t>
            </w:r>
            <w:proofErr w:type="spellEnd"/>
            <w:r w:rsidRPr="007C07C9">
              <w:rPr>
                <w:rFonts w:ascii="Times New Roman" w:hAnsi="Times New Roman"/>
                <w:color w:val="000000"/>
                <w:sz w:val="24"/>
                <w:szCs w:val="24"/>
              </w:rPr>
              <w:t>. Mgmt. 111387 (2021).</w:t>
            </w:r>
          </w:p>
        </w:tc>
        <w:tc>
          <w:tcPr>
            <w:tcW w:w="2880" w:type="dxa"/>
          </w:tcPr>
          <w:p w14:paraId="681A3753" w14:textId="77777777" w:rsidR="00D016A5" w:rsidRPr="007C07C9" w:rsidRDefault="00D016A5" w:rsidP="00494772">
            <w:pPr>
              <w:rPr>
                <w:rFonts w:ascii="Times New Roman" w:hAnsi="Times New Roman"/>
                <w:color w:val="000000"/>
                <w:sz w:val="24"/>
                <w:szCs w:val="24"/>
              </w:rPr>
            </w:pPr>
            <w:r w:rsidRPr="007C07C9">
              <w:rPr>
                <w:rFonts w:ascii="Times New Roman" w:hAnsi="Times New Roman"/>
                <w:color w:val="000000"/>
                <w:sz w:val="24"/>
                <w:szCs w:val="24"/>
              </w:rPr>
              <w:t xml:space="preserve">Explores whether the traditional no net loss approach can contribute to environmental recovery and the biodiversity crises. Discusses effective net gain strategy and recommends a broader perspective of environmental (as opposed to biodiversity-only) net gain, and linking this to the natural capital approach. </w:t>
            </w:r>
          </w:p>
          <w:p w14:paraId="50C958B2" w14:textId="77777777" w:rsidR="00D016A5" w:rsidRPr="007C07C9" w:rsidRDefault="00D016A5" w:rsidP="00494772">
            <w:pPr>
              <w:rPr>
                <w:rFonts w:ascii="Times New Roman" w:hAnsi="Times New Roman"/>
                <w:color w:val="000000"/>
                <w:sz w:val="24"/>
                <w:szCs w:val="24"/>
              </w:rPr>
            </w:pPr>
          </w:p>
        </w:tc>
        <w:tc>
          <w:tcPr>
            <w:tcW w:w="2785" w:type="dxa"/>
          </w:tcPr>
          <w:p w14:paraId="575C93EE" w14:textId="77777777" w:rsidR="00D016A5" w:rsidRPr="007C07C9" w:rsidRDefault="00E36359" w:rsidP="00494772">
            <w:pPr>
              <w:rPr>
                <w:rFonts w:ascii="Times New Roman" w:hAnsi="Times New Roman"/>
                <w:sz w:val="24"/>
                <w:szCs w:val="24"/>
              </w:rPr>
            </w:pPr>
            <w:hyperlink r:id="rId29" w:history="1">
              <w:r w:rsidR="00D016A5" w:rsidRPr="007C07C9">
                <w:rPr>
                  <w:rStyle w:val="Hyperlink"/>
                  <w:rFonts w:ascii="Times New Roman" w:hAnsi="Times New Roman"/>
                  <w:sz w:val="24"/>
                  <w:szCs w:val="24"/>
                </w:rPr>
                <w:t>Developing policy and practice for marine net gain - ScienceDirect</w:t>
              </w:r>
            </w:hyperlink>
          </w:p>
        </w:tc>
      </w:tr>
      <w:tr w:rsidR="00D016A5" w:rsidRPr="007C07C9" w14:paraId="71770BDB" w14:textId="77777777" w:rsidTr="00D016A5">
        <w:trPr>
          <w:trHeight w:val="2348"/>
        </w:trPr>
        <w:tc>
          <w:tcPr>
            <w:tcW w:w="3685" w:type="dxa"/>
          </w:tcPr>
          <w:p w14:paraId="44095C49" w14:textId="77777777" w:rsidR="00D016A5" w:rsidRPr="007C07C9" w:rsidRDefault="00D016A5" w:rsidP="00F100D8">
            <w:pPr>
              <w:rPr>
                <w:rFonts w:ascii="Times New Roman" w:hAnsi="Times New Roman"/>
                <w:color w:val="000000"/>
                <w:sz w:val="24"/>
                <w:szCs w:val="24"/>
              </w:rPr>
            </w:pPr>
            <w:proofErr w:type="spellStart"/>
            <w:r w:rsidRPr="007C07C9">
              <w:rPr>
                <w:rFonts w:ascii="Times New Roman" w:hAnsi="Times New Roman"/>
                <w:color w:val="000000"/>
                <w:sz w:val="24"/>
                <w:szCs w:val="24"/>
              </w:rPr>
              <w:t>Klain</w:t>
            </w:r>
            <w:proofErr w:type="spellEnd"/>
            <w:r w:rsidRPr="007C07C9">
              <w:rPr>
                <w:rFonts w:ascii="Times New Roman" w:hAnsi="Times New Roman"/>
                <w:color w:val="000000"/>
                <w:sz w:val="24"/>
                <w:szCs w:val="24"/>
              </w:rPr>
              <w:t xml:space="preserve"> et al., </w:t>
            </w:r>
            <w:r w:rsidRPr="007C07C9">
              <w:rPr>
                <w:rFonts w:ascii="Times New Roman" w:hAnsi="Times New Roman"/>
                <w:i/>
                <w:iCs/>
                <w:color w:val="000000"/>
                <w:sz w:val="24"/>
                <w:szCs w:val="24"/>
              </w:rPr>
              <w:t>Octopus’s Garden Under the Blade: Boosting Biodiversity Increases Willingness to Pay for Offshore Wind in the United States</w:t>
            </w:r>
            <w:r w:rsidRPr="007C07C9">
              <w:rPr>
                <w:rFonts w:ascii="Times New Roman" w:hAnsi="Times New Roman"/>
                <w:color w:val="000000"/>
                <w:sz w:val="24"/>
                <w:szCs w:val="24"/>
              </w:rPr>
              <w:t>, 69 Energy Research and Social Science 101744 (2020).</w:t>
            </w:r>
          </w:p>
          <w:p w14:paraId="36264844" w14:textId="77777777" w:rsidR="00D016A5" w:rsidRPr="007C07C9" w:rsidRDefault="00D016A5" w:rsidP="00F100D8">
            <w:pPr>
              <w:rPr>
                <w:rFonts w:ascii="Times New Roman" w:hAnsi="Times New Roman"/>
                <w:color w:val="000000"/>
                <w:sz w:val="24"/>
                <w:szCs w:val="24"/>
              </w:rPr>
            </w:pPr>
          </w:p>
        </w:tc>
        <w:tc>
          <w:tcPr>
            <w:tcW w:w="2880" w:type="dxa"/>
          </w:tcPr>
          <w:p w14:paraId="75AF3A2F" w14:textId="77777777" w:rsidR="00D016A5" w:rsidRPr="007C07C9" w:rsidRDefault="00D016A5" w:rsidP="00F100D8">
            <w:pPr>
              <w:rPr>
                <w:rFonts w:ascii="Times New Roman" w:hAnsi="Times New Roman"/>
                <w:color w:val="000000"/>
                <w:sz w:val="24"/>
                <w:szCs w:val="24"/>
              </w:rPr>
            </w:pPr>
            <w:r w:rsidRPr="007C07C9">
              <w:rPr>
                <w:rFonts w:ascii="Times New Roman" w:hAnsi="Times New Roman"/>
                <w:color w:val="000000"/>
                <w:sz w:val="24"/>
                <w:szCs w:val="24"/>
              </w:rPr>
              <w:t>Discusses how much U.S. residents are willing to pay above their current utility rates for offshore wind farms that increase marine species abundance and diversity with artificial reefs.</w:t>
            </w:r>
          </w:p>
        </w:tc>
        <w:tc>
          <w:tcPr>
            <w:tcW w:w="2785" w:type="dxa"/>
          </w:tcPr>
          <w:p w14:paraId="5E5802FA" w14:textId="77777777" w:rsidR="00D016A5" w:rsidRPr="007C07C9" w:rsidRDefault="00E36359" w:rsidP="00F100D8">
            <w:pPr>
              <w:rPr>
                <w:rFonts w:ascii="Times New Roman" w:hAnsi="Times New Roman"/>
                <w:sz w:val="24"/>
                <w:szCs w:val="24"/>
              </w:rPr>
            </w:pPr>
            <w:hyperlink r:id="rId30" w:history="1">
              <w:r w:rsidR="00D016A5" w:rsidRPr="007C07C9">
                <w:rPr>
                  <w:rStyle w:val="Hyperlink"/>
                  <w:rFonts w:ascii="Times New Roman" w:hAnsi="Times New Roman"/>
                  <w:sz w:val="24"/>
                  <w:szCs w:val="24"/>
                </w:rPr>
                <w:t>Octopus’s garden under the blade: Boosting biodiversity increases willingness to pay for offshore wind in the United States - ScienceDirect</w:t>
              </w:r>
            </w:hyperlink>
          </w:p>
        </w:tc>
      </w:tr>
      <w:tr w:rsidR="00D016A5" w:rsidRPr="007C07C9" w14:paraId="5F0CADFF" w14:textId="77777777" w:rsidTr="00D016A5">
        <w:trPr>
          <w:trHeight w:val="2024"/>
        </w:trPr>
        <w:tc>
          <w:tcPr>
            <w:tcW w:w="3685" w:type="dxa"/>
          </w:tcPr>
          <w:p w14:paraId="7F0EC4FE" w14:textId="77777777" w:rsidR="00D016A5" w:rsidRPr="007C07C9" w:rsidRDefault="00D016A5" w:rsidP="00F100D8">
            <w:pPr>
              <w:rPr>
                <w:rFonts w:ascii="Times New Roman" w:hAnsi="Times New Roman"/>
                <w:color w:val="000000"/>
                <w:sz w:val="24"/>
                <w:szCs w:val="24"/>
              </w:rPr>
            </w:pPr>
            <w:r w:rsidRPr="007C07C9">
              <w:rPr>
                <w:rFonts w:ascii="Times New Roman" w:hAnsi="Times New Roman"/>
                <w:color w:val="000000"/>
                <w:sz w:val="24"/>
                <w:szCs w:val="24"/>
              </w:rPr>
              <w:t xml:space="preserve">Ocean Policy Committee, </w:t>
            </w:r>
            <w:r w:rsidRPr="007C07C9">
              <w:rPr>
                <w:rFonts w:ascii="Times New Roman" w:hAnsi="Times New Roman"/>
                <w:i/>
                <w:iCs/>
                <w:color w:val="000000"/>
                <w:sz w:val="24"/>
                <w:szCs w:val="24"/>
              </w:rPr>
              <w:t xml:space="preserve">Ocean Climate Action Plan </w:t>
            </w:r>
            <w:r w:rsidRPr="007C07C9">
              <w:rPr>
                <w:rFonts w:ascii="Times New Roman" w:hAnsi="Times New Roman"/>
                <w:color w:val="000000"/>
                <w:sz w:val="24"/>
                <w:szCs w:val="24"/>
              </w:rPr>
              <w:t>(2023).</w:t>
            </w:r>
          </w:p>
          <w:p w14:paraId="74A84EF6" w14:textId="77777777" w:rsidR="00D016A5" w:rsidRPr="007C07C9" w:rsidRDefault="00D016A5" w:rsidP="00F100D8">
            <w:pPr>
              <w:rPr>
                <w:rFonts w:ascii="Times New Roman" w:hAnsi="Times New Roman"/>
                <w:sz w:val="24"/>
                <w:szCs w:val="24"/>
              </w:rPr>
            </w:pPr>
          </w:p>
        </w:tc>
        <w:tc>
          <w:tcPr>
            <w:tcW w:w="2880" w:type="dxa"/>
          </w:tcPr>
          <w:p w14:paraId="77EA3BF5" w14:textId="77777777" w:rsidR="00D016A5" w:rsidRPr="007C07C9" w:rsidRDefault="00D016A5" w:rsidP="00F100D8">
            <w:pPr>
              <w:rPr>
                <w:rFonts w:ascii="Times New Roman" w:hAnsi="Times New Roman"/>
                <w:sz w:val="24"/>
                <w:szCs w:val="24"/>
              </w:rPr>
            </w:pPr>
            <w:r w:rsidRPr="007C07C9">
              <w:rPr>
                <w:rFonts w:ascii="Times New Roman" w:hAnsi="Times New Roman"/>
                <w:color w:val="000000"/>
                <w:sz w:val="24"/>
                <w:szCs w:val="24"/>
              </w:rPr>
              <w:t xml:space="preserve">First report from the Ocean Policy Committee. It lays out recommendations for how the United States can meet the climate objectives of the current administration.  </w:t>
            </w:r>
          </w:p>
        </w:tc>
        <w:tc>
          <w:tcPr>
            <w:tcW w:w="2785" w:type="dxa"/>
          </w:tcPr>
          <w:p w14:paraId="700B2B4C" w14:textId="77777777" w:rsidR="00D016A5" w:rsidRPr="007C07C9" w:rsidRDefault="00E36359" w:rsidP="00F100D8">
            <w:pPr>
              <w:rPr>
                <w:rFonts w:ascii="Times New Roman" w:hAnsi="Times New Roman"/>
                <w:sz w:val="24"/>
                <w:szCs w:val="24"/>
              </w:rPr>
            </w:pPr>
            <w:hyperlink r:id="rId31" w:history="1">
              <w:r w:rsidR="00D016A5" w:rsidRPr="007C07C9">
                <w:rPr>
                  <w:rStyle w:val="Hyperlink"/>
                  <w:rFonts w:ascii="Times New Roman" w:hAnsi="Times New Roman"/>
                  <w:sz w:val="24"/>
                  <w:szCs w:val="24"/>
                </w:rPr>
                <w:t>https://www.whitehouse.gov/wp-content/uploads/2023/03/Ocean-Climate-Action-Plan_Final.pdf</w:t>
              </w:r>
            </w:hyperlink>
          </w:p>
          <w:p w14:paraId="77890834" w14:textId="77777777" w:rsidR="00D016A5" w:rsidRPr="007C07C9" w:rsidRDefault="00D016A5" w:rsidP="00F100D8">
            <w:pPr>
              <w:rPr>
                <w:rFonts w:ascii="Times New Roman" w:hAnsi="Times New Roman"/>
                <w:sz w:val="24"/>
                <w:szCs w:val="24"/>
              </w:rPr>
            </w:pPr>
          </w:p>
        </w:tc>
      </w:tr>
      <w:tr w:rsidR="00D016A5" w:rsidRPr="007C07C9" w14:paraId="45544867" w14:textId="77777777" w:rsidTr="00D016A5">
        <w:trPr>
          <w:trHeight w:val="2294"/>
        </w:trPr>
        <w:tc>
          <w:tcPr>
            <w:tcW w:w="3685" w:type="dxa"/>
          </w:tcPr>
          <w:p w14:paraId="047BFA43" w14:textId="77777777" w:rsidR="00D016A5" w:rsidRPr="007C07C9" w:rsidRDefault="00D016A5" w:rsidP="00F100D8">
            <w:pPr>
              <w:rPr>
                <w:rFonts w:ascii="Times New Roman" w:hAnsi="Times New Roman"/>
                <w:sz w:val="24"/>
                <w:szCs w:val="24"/>
                <w:shd w:val="clear" w:color="auto" w:fill="FFFFFF"/>
              </w:rPr>
            </w:pPr>
            <w:r w:rsidRPr="007C07C9">
              <w:rPr>
                <w:rFonts w:ascii="Times New Roman" w:hAnsi="Times New Roman"/>
                <w:sz w:val="24"/>
                <w:szCs w:val="24"/>
              </w:rPr>
              <w:t xml:space="preserve">Stanek et al., </w:t>
            </w:r>
            <w:r w:rsidRPr="007C07C9">
              <w:rPr>
                <w:rFonts w:ascii="Times New Roman" w:hAnsi="Times New Roman"/>
                <w:i/>
                <w:iCs/>
                <w:sz w:val="24"/>
                <w:szCs w:val="24"/>
              </w:rPr>
              <w:t>Maryland Public Service Commission Order Granting Offshore Wind Renewable Energy Credits to Skipjack Offshore Energy, LLC and US Wind, Inc.’s Offshore Wind Applications</w:t>
            </w:r>
            <w:r w:rsidRPr="007C07C9">
              <w:rPr>
                <w:rFonts w:ascii="Times New Roman" w:hAnsi="Times New Roman"/>
                <w:sz w:val="24"/>
                <w:szCs w:val="24"/>
              </w:rPr>
              <w:t xml:space="preserve"> (2021)</w:t>
            </w:r>
          </w:p>
        </w:tc>
        <w:tc>
          <w:tcPr>
            <w:tcW w:w="2880" w:type="dxa"/>
          </w:tcPr>
          <w:p w14:paraId="233CA206" w14:textId="54B534C8" w:rsidR="00D016A5" w:rsidRPr="007C07C9" w:rsidRDefault="00D016A5" w:rsidP="00F100D8">
            <w:pPr>
              <w:rPr>
                <w:rStyle w:val="Emphasis"/>
                <w:rFonts w:ascii="Times New Roman" w:hAnsi="Times New Roman"/>
                <w:i w:val="0"/>
                <w:iCs w:val="0"/>
                <w:sz w:val="24"/>
                <w:szCs w:val="24"/>
                <w:shd w:val="clear" w:color="auto" w:fill="FFFFFF"/>
              </w:rPr>
            </w:pPr>
            <w:r w:rsidRPr="007C07C9">
              <w:rPr>
                <w:rFonts w:ascii="Times New Roman" w:hAnsi="Times New Roman"/>
                <w:sz w:val="24"/>
                <w:szCs w:val="24"/>
              </w:rPr>
              <w:t xml:space="preserve">Analyzing the extent to which the Cost-Benefit Analysis submitted under </w:t>
            </w:r>
            <w:r w:rsidR="007C07C9" w:rsidRPr="007C07C9">
              <w:rPr>
                <w:rFonts w:ascii="Times New Roman" w:hAnsi="Times New Roman"/>
                <w:sz w:val="24"/>
                <w:szCs w:val="24"/>
              </w:rPr>
              <w:t>Md. Code Ann., Pub. Util.</w:t>
            </w:r>
            <w:r w:rsidRPr="007C07C9">
              <w:rPr>
                <w:rFonts w:ascii="Times New Roman" w:hAnsi="Times New Roman"/>
                <w:sz w:val="24"/>
                <w:szCs w:val="24"/>
              </w:rPr>
              <w:t xml:space="preserve"> § 7-704.1(c)(3) </w:t>
            </w:r>
            <w:r w:rsidR="007C07C9" w:rsidRPr="007C07C9">
              <w:rPr>
                <w:rFonts w:ascii="Times New Roman" w:hAnsi="Times New Roman"/>
                <w:sz w:val="24"/>
                <w:szCs w:val="24"/>
              </w:rPr>
              <w:t>d</w:t>
            </w:r>
            <w:r w:rsidRPr="007C07C9">
              <w:rPr>
                <w:rFonts w:ascii="Times New Roman" w:hAnsi="Times New Roman"/>
                <w:sz w:val="24"/>
                <w:szCs w:val="24"/>
              </w:rPr>
              <w:t>emonstrates positive net economic, environmental, and health benefits to the State of Maryland.</w:t>
            </w:r>
          </w:p>
        </w:tc>
        <w:tc>
          <w:tcPr>
            <w:tcW w:w="2785" w:type="dxa"/>
          </w:tcPr>
          <w:p w14:paraId="6820972B" w14:textId="77777777" w:rsidR="00D016A5" w:rsidRPr="007C07C9" w:rsidRDefault="00E36359" w:rsidP="00F100D8">
            <w:pPr>
              <w:rPr>
                <w:rFonts w:ascii="Times New Roman" w:hAnsi="Times New Roman"/>
                <w:sz w:val="24"/>
                <w:szCs w:val="24"/>
              </w:rPr>
            </w:pPr>
            <w:hyperlink r:id="rId32" w:history="1">
              <w:r w:rsidR="00D016A5" w:rsidRPr="007C07C9">
                <w:rPr>
                  <w:rStyle w:val="Hyperlink"/>
                  <w:rFonts w:ascii="Times New Roman" w:hAnsi="Times New Roman"/>
                  <w:sz w:val="24"/>
                  <w:szCs w:val="24"/>
                </w:rPr>
                <w:t>Microsoft Word - Order No. 90011 - Case No. 9666 - Consolidated Order.docx (state.md.us)</w:t>
              </w:r>
            </w:hyperlink>
          </w:p>
        </w:tc>
      </w:tr>
    </w:tbl>
    <w:p w14:paraId="0AB41138" w14:textId="77777777" w:rsidR="00D016A5" w:rsidRPr="007C07C9" w:rsidRDefault="00D016A5" w:rsidP="00494772">
      <w:pPr>
        <w:rPr>
          <w:color w:val="000000"/>
        </w:rPr>
        <w:sectPr w:rsidR="00D016A5" w:rsidRPr="007C07C9" w:rsidSect="0078713B">
          <w:footerReference w:type="default" r:id="rId33"/>
          <w:pgSz w:w="12240" w:h="15840"/>
          <w:pgMar w:top="720" w:right="1440" w:bottom="720" w:left="1440" w:header="720" w:footer="720" w:gutter="0"/>
          <w:cols w:space="720"/>
          <w:docGrid w:linePitch="360"/>
        </w:sectPr>
      </w:pPr>
    </w:p>
    <w:tbl>
      <w:tblPr>
        <w:tblStyle w:val="TableGrid"/>
        <w:tblW w:w="0" w:type="auto"/>
        <w:tblLayout w:type="fixed"/>
        <w:tblLook w:val="04A0" w:firstRow="1" w:lastRow="0" w:firstColumn="1" w:lastColumn="0" w:noHBand="0" w:noVBand="1"/>
      </w:tblPr>
      <w:tblGrid>
        <w:gridCol w:w="3685"/>
        <w:gridCol w:w="2880"/>
        <w:gridCol w:w="2785"/>
      </w:tblGrid>
      <w:tr w:rsidR="00D016A5" w:rsidRPr="007C07C9" w14:paraId="710E4A80" w14:textId="77777777" w:rsidTr="00D016A5">
        <w:trPr>
          <w:trHeight w:val="2627"/>
        </w:trPr>
        <w:tc>
          <w:tcPr>
            <w:tcW w:w="3685" w:type="dxa"/>
          </w:tcPr>
          <w:p w14:paraId="45B65976" w14:textId="77777777" w:rsidR="00D016A5" w:rsidRPr="007C07C9" w:rsidRDefault="00D016A5" w:rsidP="00494772">
            <w:pPr>
              <w:rPr>
                <w:rFonts w:ascii="Times New Roman" w:hAnsi="Times New Roman"/>
                <w:color w:val="000000"/>
                <w:sz w:val="24"/>
                <w:szCs w:val="24"/>
              </w:rPr>
            </w:pPr>
            <w:proofErr w:type="spellStart"/>
            <w:r w:rsidRPr="007C07C9">
              <w:rPr>
                <w:rFonts w:ascii="Times New Roman" w:hAnsi="Times New Roman"/>
                <w:sz w:val="24"/>
                <w:szCs w:val="24"/>
                <w:shd w:val="clear" w:color="auto" w:fill="FFFFFF"/>
              </w:rPr>
              <w:lastRenderedPageBreak/>
              <w:t>Trémolet</w:t>
            </w:r>
            <w:proofErr w:type="spellEnd"/>
            <w:r w:rsidRPr="007C07C9">
              <w:rPr>
                <w:rFonts w:ascii="Times New Roman" w:hAnsi="Times New Roman"/>
                <w:sz w:val="24"/>
                <w:szCs w:val="24"/>
                <w:shd w:val="clear" w:color="auto" w:fill="FFFFFF"/>
              </w:rPr>
              <w:t xml:space="preserve"> et al., </w:t>
            </w:r>
            <w:r w:rsidRPr="007C07C9">
              <w:rPr>
                <w:rFonts w:ascii="Times New Roman" w:hAnsi="Times New Roman"/>
                <w:i/>
                <w:iCs/>
                <w:sz w:val="24"/>
                <w:szCs w:val="24"/>
                <w:shd w:val="clear" w:color="auto" w:fill="FFFFFF"/>
              </w:rPr>
              <w:t>Biodiversity</w:t>
            </w:r>
            <w:r w:rsidRPr="007C07C9">
              <w:rPr>
                <w:rFonts w:ascii="Times New Roman" w:hAnsi="Times New Roman"/>
                <w:i/>
                <w:iCs/>
                <w:sz w:val="24"/>
                <w:szCs w:val="24"/>
              </w:rPr>
              <w:br/>
            </w:r>
            <w:r w:rsidRPr="007C07C9">
              <w:rPr>
                <w:rFonts w:ascii="Times New Roman" w:hAnsi="Times New Roman"/>
                <w:i/>
                <w:iCs/>
                <w:sz w:val="24"/>
                <w:szCs w:val="24"/>
                <w:shd w:val="clear" w:color="auto" w:fill="FFFFFF"/>
              </w:rPr>
              <w:t>Net Gain in England: Developing</w:t>
            </w:r>
            <w:r w:rsidRPr="007C07C9">
              <w:rPr>
                <w:rFonts w:ascii="Times New Roman" w:hAnsi="Times New Roman"/>
                <w:i/>
                <w:iCs/>
                <w:sz w:val="24"/>
                <w:szCs w:val="24"/>
              </w:rPr>
              <w:br/>
            </w:r>
            <w:r w:rsidRPr="007C07C9">
              <w:rPr>
                <w:rFonts w:ascii="Times New Roman" w:hAnsi="Times New Roman"/>
                <w:i/>
                <w:iCs/>
                <w:sz w:val="24"/>
                <w:szCs w:val="24"/>
                <w:shd w:val="clear" w:color="auto" w:fill="FFFFFF"/>
              </w:rPr>
              <w:t>Effective Market Mechanisms.</w:t>
            </w:r>
            <w:r w:rsidRPr="007C07C9">
              <w:rPr>
                <w:rFonts w:ascii="Times New Roman" w:hAnsi="Times New Roman"/>
                <w:i/>
                <w:iCs/>
                <w:sz w:val="24"/>
                <w:szCs w:val="24"/>
              </w:rPr>
              <w:br/>
            </w:r>
            <w:r w:rsidRPr="007C07C9">
              <w:rPr>
                <w:rFonts w:ascii="Times New Roman" w:hAnsi="Times New Roman"/>
                <w:i/>
                <w:iCs/>
                <w:sz w:val="24"/>
                <w:szCs w:val="24"/>
                <w:shd w:val="clear" w:color="auto" w:fill="FFFFFF"/>
              </w:rPr>
              <w:t>A Discussion Paper. The Nature</w:t>
            </w:r>
            <w:r w:rsidRPr="007C07C9">
              <w:rPr>
                <w:rFonts w:ascii="Times New Roman" w:hAnsi="Times New Roman"/>
                <w:i/>
                <w:iCs/>
                <w:sz w:val="24"/>
                <w:szCs w:val="24"/>
              </w:rPr>
              <w:br/>
            </w:r>
            <w:r w:rsidRPr="007C07C9">
              <w:rPr>
                <w:rFonts w:ascii="Times New Roman" w:hAnsi="Times New Roman"/>
                <w:i/>
                <w:iCs/>
                <w:sz w:val="24"/>
                <w:szCs w:val="24"/>
                <w:shd w:val="clear" w:color="auto" w:fill="FFFFFF"/>
              </w:rPr>
              <w:t>Conservancy. London, United</w:t>
            </w:r>
            <w:r w:rsidRPr="007C07C9">
              <w:rPr>
                <w:rFonts w:ascii="Times New Roman" w:hAnsi="Times New Roman"/>
                <w:i/>
                <w:iCs/>
                <w:sz w:val="24"/>
                <w:szCs w:val="24"/>
              </w:rPr>
              <w:br/>
            </w:r>
            <w:r w:rsidRPr="007C07C9">
              <w:rPr>
                <w:rFonts w:ascii="Times New Roman" w:hAnsi="Times New Roman"/>
                <w:i/>
                <w:iCs/>
                <w:sz w:val="24"/>
                <w:szCs w:val="24"/>
                <w:shd w:val="clear" w:color="auto" w:fill="FFFFFF"/>
              </w:rPr>
              <w:t>Kingdom.</w:t>
            </w:r>
            <w:r w:rsidRPr="007C07C9">
              <w:rPr>
                <w:rFonts w:ascii="Times New Roman" w:hAnsi="Times New Roman"/>
                <w:sz w:val="24"/>
                <w:szCs w:val="24"/>
                <w:shd w:val="clear" w:color="auto" w:fill="FFFFFF"/>
              </w:rPr>
              <w:t xml:space="preserve"> (2021)</w:t>
            </w:r>
          </w:p>
        </w:tc>
        <w:tc>
          <w:tcPr>
            <w:tcW w:w="2880" w:type="dxa"/>
          </w:tcPr>
          <w:p w14:paraId="7F92CC52" w14:textId="613D4CFC" w:rsidR="00D016A5" w:rsidRPr="007C07C9" w:rsidRDefault="00D016A5" w:rsidP="00494772">
            <w:pPr>
              <w:rPr>
                <w:rFonts w:ascii="Times New Roman" w:hAnsi="Times New Roman"/>
                <w:i/>
                <w:iCs/>
                <w:color w:val="000000"/>
                <w:sz w:val="24"/>
                <w:szCs w:val="24"/>
              </w:rPr>
            </w:pPr>
            <w:r w:rsidRPr="007C07C9">
              <w:rPr>
                <w:rStyle w:val="Emphasis"/>
                <w:rFonts w:ascii="Times New Roman" w:hAnsi="Times New Roman"/>
                <w:i w:val="0"/>
                <w:iCs w:val="0"/>
                <w:sz w:val="24"/>
                <w:szCs w:val="24"/>
                <w:shd w:val="clear" w:color="auto" w:fill="FFFFFF"/>
              </w:rPr>
              <w:t>Discusses developing effective market mechanisms for biodiversity in England</w:t>
            </w:r>
            <w:r w:rsidR="007C07C9" w:rsidRPr="007C07C9">
              <w:rPr>
                <w:rStyle w:val="Emphasis"/>
                <w:rFonts w:ascii="Times New Roman" w:hAnsi="Times New Roman"/>
                <w:i w:val="0"/>
                <w:iCs w:val="0"/>
                <w:sz w:val="24"/>
                <w:szCs w:val="24"/>
                <w:shd w:val="clear" w:color="auto" w:fill="FFFFFF"/>
              </w:rPr>
              <w:t>;</w:t>
            </w:r>
            <w:r w:rsidRPr="007C07C9">
              <w:rPr>
                <w:rStyle w:val="Emphasis"/>
                <w:rFonts w:ascii="Times New Roman" w:hAnsi="Times New Roman"/>
                <w:i w:val="0"/>
                <w:iCs w:val="0"/>
                <w:sz w:val="24"/>
                <w:szCs w:val="24"/>
                <w:shd w:val="clear" w:color="auto" w:fill="FFFFFF"/>
              </w:rPr>
              <w:t xml:space="preserve"> and provides an analytical framework for countries looking to assess what key components they need to make these markets work.</w:t>
            </w:r>
          </w:p>
        </w:tc>
        <w:tc>
          <w:tcPr>
            <w:tcW w:w="2785" w:type="dxa"/>
          </w:tcPr>
          <w:p w14:paraId="3DB5586E" w14:textId="77777777" w:rsidR="00D016A5" w:rsidRPr="007C07C9" w:rsidRDefault="00E36359" w:rsidP="00494772">
            <w:pPr>
              <w:rPr>
                <w:rFonts w:ascii="Times New Roman" w:hAnsi="Times New Roman"/>
                <w:sz w:val="24"/>
                <w:szCs w:val="24"/>
              </w:rPr>
            </w:pPr>
            <w:hyperlink r:id="rId34" w:history="1">
              <w:r w:rsidR="00D016A5" w:rsidRPr="007C07C9">
                <w:rPr>
                  <w:rStyle w:val="Hyperlink"/>
                  <w:rFonts w:ascii="Times New Roman" w:hAnsi="Times New Roman"/>
                  <w:sz w:val="24"/>
                  <w:szCs w:val="24"/>
                </w:rPr>
                <w:t>Biodiversity Net Gain, England (nature.org)</w:t>
              </w:r>
            </w:hyperlink>
          </w:p>
        </w:tc>
      </w:tr>
      <w:tr w:rsidR="00D016A5" w:rsidRPr="007C07C9" w14:paraId="02A0D936" w14:textId="77777777" w:rsidTr="00494772">
        <w:tc>
          <w:tcPr>
            <w:tcW w:w="3685" w:type="dxa"/>
          </w:tcPr>
          <w:p w14:paraId="4C4D08D6" w14:textId="77777777" w:rsidR="00D016A5" w:rsidRPr="007C07C9" w:rsidRDefault="00D016A5" w:rsidP="00494772">
            <w:pPr>
              <w:rPr>
                <w:rFonts w:ascii="Times New Roman" w:hAnsi="Times New Roman"/>
                <w:color w:val="000000"/>
                <w:sz w:val="24"/>
                <w:szCs w:val="24"/>
              </w:rPr>
            </w:pPr>
            <w:proofErr w:type="spellStart"/>
            <w:r w:rsidRPr="007C07C9">
              <w:rPr>
                <w:rFonts w:ascii="Times New Roman" w:hAnsi="Times New Roman"/>
                <w:color w:val="000000"/>
                <w:sz w:val="24"/>
                <w:szCs w:val="24"/>
              </w:rPr>
              <w:t>WindEurope</w:t>
            </w:r>
            <w:proofErr w:type="spellEnd"/>
            <w:r w:rsidRPr="007C07C9">
              <w:rPr>
                <w:rFonts w:ascii="Times New Roman" w:hAnsi="Times New Roman"/>
                <w:color w:val="000000"/>
                <w:sz w:val="24"/>
                <w:szCs w:val="24"/>
              </w:rPr>
              <w:t xml:space="preserve">, </w:t>
            </w:r>
            <w:proofErr w:type="spellStart"/>
            <w:r w:rsidRPr="007C07C9">
              <w:rPr>
                <w:rFonts w:ascii="Times New Roman" w:hAnsi="Times New Roman"/>
                <w:i/>
                <w:iCs/>
                <w:color w:val="000000"/>
                <w:sz w:val="24"/>
                <w:szCs w:val="24"/>
              </w:rPr>
              <w:t>WindEurope</w:t>
            </w:r>
            <w:proofErr w:type="spellEnd"/>
            <w:r w:rsidRPr="007C07C9">
              <w:rPr>
                <w:rFonts w:ascii="Times New Roman" w:hAnsi="Times New Roman"/>
                <w:i/>
                <w:iCs/>
                <w:color w:val="000000"/>
                <w:sz w:val="24"/>
                <w:szCs w:val="24"/>
              </w:rPr>
              <w:t xml:space="preserve"> position on Non-Price Criteria in Auctions</w:t>
            </w:r>
            <w:r w:rsidRPr="007C07C9">
              <w:rPr>
                <w:rFonts w:ascii="Times New Roman" w:hAnsi="Times New Roman"/>
                <w:color w:val="000000"/>
                <w:sz w:val="24"/>
                <w:szCs w:val="24"/>
              </w:rPr>
              <w:t xml:space="preserve"> (2022).</w:t>
            </w:r>
          </w:p>
          <w:p w14:paraId="4258C8CB" w14:textId="77777777" w:rsidR="00D016A5" w:rsidRPr="007C07C9" w:rsidRDefault="00D016A5" w:rsidP="00494772">
            <w:pPr>
              <w:rPr>
                <w:rFonts w:ascii="Times New Roman" w:hAnsi="Times New Roman"/>
                <w:color w:val="000000"/>
                <w:sz w:val="24"/>
                <w:szCs w:val="24"/>
              </w:rPr>
            </w:pPr>
          </w:p>
        </w:tc>
        <w:tc>
          <w:tcPr>
            <w:tcW w:w="2880" w:type="dxa"/>
          </w:tcPr>
          <w:p w14:paraId="631BDF6C" w14:textId="77777777" w:rsidR="00D016A5" w:rsidRPr="007C07C9" w:rsidRDefault="00D016A5" w:rsidP="00494772">
            <w:pPr>
              <w:rPr>
                <w:rFonts w:ascii="Times New Roman" w:hAnsi="Times New Roman"/>
                <w:color w:val="000000"/>
                <w:sz w:val="24"/>
                <w:szCs w:val="24"/>
              </w:rPr>
            </w:pPr>
            <w:r w:rsidRPr="007C07C9">
              <w:rPr>
                <w:rFonts w:ascii="Times New Roman" w:hAnsi="Times New Roman"/>
                <w:color w:val="000000"/>
                <w:sz w:val="24"/>
                <w:szCs w:val="24"/>
              </w:rPr>
              <w:t xml:space="preserve">Position paper from the European wind industry on the use of non-price criteria in auctions, including NPI.  </w:t>
            </w:r>
          </w:p>
          <w:p w14:paraId="3F571D9B" w14:textId="77777777" w:rsidR="00D016A5" w:rsidRPr="007C07C9" w:rsidRDefault="00D016A5" w:rsidP="00494772">
            <w:pPr>
              <w:rPr>
                <w:rFonts w:ascii="Times New Roman" w:hAnsi="Times New Roman"/>
                <w:color w:val="000000"/>
                <w:sz w:val="24"/>
                <w:szCs w:val="24"/>
              </w:rPr>
            </w:pPr>
          </w:p>
        </w:tc>
        <w:tc>
          <w:tcPr>
            <w:tcW w:w="2785" w:type="dxa"/>
          </w:tcPr>
          <w:p w14:paraId="0C17A851" w14:textId="77777777" w:rsidR="00D016A5" w:rsidRPr="007C07C9" w:rsidRDefault="00E36359" w:rsidP="00494772">
            <w:pPr>
              <w:rPr>
                <w:rFonts w:ascii="Times New Roman" w:hAnsi="Times New Roman"/>
                <w:sz w:val="24"/>
                <w:szCs w:val="24"/>
              </w:rPr>
            </w:pPr>
            <w:hyperlink r:id="rId35" w:history="1">
              <w:r w:rsidR="00D016A5" w:rsidRPr="007C07C9">
                <w:rPr>
                  <w:rStyle w:val="Hyperlink"/>
                  <w:rFonts w:ascii="Times New Roman" w:hAnsi="Times New Roman"/>
                  <w:sz w:val="24"/>
                  <w:szCs w:val="24"/>
                </w:rPr>
                <w:t>20220413-WindEurope-Position-paper-non-price-criteria-in-auctions.pdf</w:t>
              </w:r>
            </w:hyperlink>
          </w:p>
        </w:tc>
      </w:tr>
      <w:tr w:rsidR="00D016A5" w:rsidRPr="007C07C9" w14:paraId="0DFA4EEE" w14:textId="77777777" w:rsidTr="00D016A5">
        <w:trPr>
          <w:trHeight w:val="2933"/>
        </w:trPr>
        <w:tc>
          <w:tcPr>
            <w:tcW w:w="3685" w:type="dxa"/>
          </w:tcPr>
          <w:p w14:paraId="00A5CE93" w14:textId="77777777" w:rsidR="00D016A5" w:rsidRPr="007C07C9" w:rsidRDefault="00D016A5" w:rsidP="00537CD5">
            <w:pPr>
              <w:rPr>
                <w:rFonts w:ascii="Times New Roman" w:hAnsi="Times New Roman"/>
                <w:color w:val="000000"/>
                <w:sz w:val="24"/>
                <w:szCs w:val="24"/>
              </w:rPr>
            </w:pPr>
            <w:r w:rsidRPr="007C07C9">
              <w:rPr>
                <w:rFonts w:ascii="Times New Roman" w:hAnsi="Times New Roman"/>
                <w:color w:val="000000"/>
                <w:sz w:val="24"/>
                <w:szCs w:val="24"/>
              </w:rPr>
              <w:t xml:space="preserve">Zupan et al., </w:t>
            </w:r>
            <w:r w:rsidRPr="007C07C9">
              <w:rPr>
                <w:rFonts w:ascii="Times New Roman" w:hAnsi="Times New Roman"/>
                <w:i/>
                <w:iCs/>
                <w:color w:val="000000"/>
                <w:sz w:val="24"/>
                <w:szCs w:val="24"/>
              </w:rPr>
              <w:t>Long-Term Succession on Offshore Wind Farms and the Role of Species Interactions</w:t>
            </w:r>
            <w:r w:rsidRPr="007C07C9">
              <w:rPr>
                <w:rFonts w:ascii="Times New Roman" w:hAnsi="Times New Roman"/>
                <w:color w:val="000000"/>
                <w:sz w:val="24"/>
                <w:szCs w:val="24"/>
              </w:rPr>
              <w:t>, 15 Diversity 288 (2023).</w:t>
            </w:r>
          </w:p>
          <w:p w14:paraId="73F298AB" w14:textId="77777777" w:rsidR="00D016A5" w:rsidRPr="007C07C9" w:rsidRDefault="00D016A5" w:rsidP="00537CD5">
            <w:pPr>
              <w:rPr>
                <w:rFonts w:ascii="Times New Roman" w:hAnsi="Times New Roman"/>
                <w:sz w:val="24"/>
                <w:szCs w:val="24"/>
              </w:rPr>
            </w:pPr>
          </w:p>
          <w:p w14:paraId="3CD7CBF6" w14:textId="77777777" w:rsidR="00D016A5" w:rsidRPr="007C07C9" w:rsidRDefault="00D016A5" w:rsidP="00537CD5">
            <w:pPr>
              <w:rPr>
                <w:rFonts w:ascii="Times New Roman" w:hAnsi="Times New Roman"/>
                <w:sz w:val="24"/>
                <w:szCs w:val="24"/>
              </w:rPr>
            </w:pPr>
          </w:p>
        </w:tc>
        <w:tc>
          <w:tcPr>
            <w:tcW w:w="2880" w:type="dxa"/>
          </w:tcPr>
          <w:p w14:paraId="3DB87AB4" w14:textId="77777777" w:rsidR="00D016A5" w:rsidRPr="007C07C9" w:rsidRDefault="00D016A5" w:rsidP="00537CD5">
            <w:pPr>
              <w:rPr>
                <w:rFonts w:ascii="Times New Roman" w:hAnsi="Times New Roman"/>
                <w:color w:val="000000"/>
                <w:sz w:val="24"/>
                <w:szCs w:val="24"/>
              </w:rPr>
            </w:pPr>
            <w:r w:rsidRPr="007C07C9">
              <w:rPr>
                <w:rFonts w:ascii="Times New Roman" w:hAnsi="Times New Roman"/>
                <w:color w:val="000000"/>
                <w:sz w:val="24"/>
                <w:szCs w:val="24"/>
              </w:rPr>
              <w:t>An 11-year study in Belgium that showed an increase in biofouling communities associated with offshore windfarms and discusses the associated broad effects on the structure and functioning of the marine ecosystem.</w:t>
            </w:r>
          </w:p>
        </w:tc>
        <w:tc>
          <w:tcPr>
            <w:tcW w:w="2785" w:type="dxa"/>
          </w:tcPr>
          <w:p w14:paraId="6948192A" w14:textId="77777777" w:rsidR="00D016A5" w:rsidRPr="007C07C9" w:rsidRDefault="00E36359" w:rsidP="00537CD5">
            <w:pPr>
              <w:rPr>
                <w:rFonts w:ascii="Times New Roman" w:hAnsi="Times New Roman"/>
                <w:sz w:val="24"/>
                <w:szCs w:val="24"/>
              </w:rPr>
            </w:pPr>
            <w:hyperlink r:id="rId36" w:history="1">
              <w:r w:rsidR="00D016A5" w:rsidRPr="007C07C9">
                <w:rPr>
                  <w:rStyle w:val="Hyperlink"/>
                  <w:rFonts w:ascii="Times New Roman" w:hAnsi="Times New Roman"/>
                  <w:sz w:val="24"/>
                  <w:szCs w:val="24"/>
                </w:rPr>
                <w:t>Diversity | Free Full-Text | Long-Term Succession on Offshore Wind Farms and the Role of Species Interactions (mdpi.com)</w:t>
              </w:r>
            </w:hyperlink>
          </w:p>
        </w:tc>
      </w:tr>
    </w:tbl>
    <w:p w14:paraId="22E99769" w14:textId="77777777" w:rsidR="00D016A5" w:rsidRPr="007C07C9" w:rsidRDefault="00D016A5" w:rsidP="00D016A5">
      <w:pPr>
        <w:spacing w:after="160"/>
      </w:pPr>
    </w:p>
    <w:sectPr w:rsidR="00D016A5" w:rsidRPr="007C07C9" w:rsidSect="0078713B">
      <w:footerReference w:type="default" r:id="rId37"/>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55C81" w14:textId="77777777" w:rsidR="00E36359" w:rsidRDefault="00E36359" w:rsidP="00FF492C">
      <w:r>
        <w:separator/>
      </w:r>
    </w:p>
  </w:endnote>
  <w:endnote w:type="continuationSeparator" w:id="0">
    <w:p w14:paraId="66F07792" w14:textId="77777777" w:rsidR="00E36359" w:rsidRDefault="00E36359" w:rsidP="00FF4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241D8" w14:textId="77777777" w:rsidR="00F05AA3" w:rsidRDefault="00F05A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F6152" w14:textId="77777777" w:rsidR="00A801A5" w:rsidRDefault="00A801A5">
    <w:pPr>
      <w:pStyle w:val="Footer"/>
    </w:pPr>
  </w:p>
  <w:p w14:paraId="44854F18" w14:textId="5E626E80" w:rsidR="00A801A5" w:rsidRDefault="00A801A5" w:rsidP="00010646">
    <w:pPr>
      <w:pStyle w:val="Footer"/>
      <w:jc w:val="center"/>
    </w:pPr>
    <w:r>
      <w:rPr>
        <w:noProof/>
      </w:rPr>
      <w:drawing>
        <wp:inline distT="0" distB="0" distL="0" distR="0" wp14:anchorId="4938306C" wp14:editId="0BA67DDF">
          <wp:extent cx="1041400" cy="10541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041400" cy="1054100"/>
                  </a:xfrm>
                  <a:prstGeom prst="rect">
                    <a:avLst/>
                  </a:prstGeom>
                </pic:spPr>
              </pic:pic>
            </a:graphicData>
          </a:graphic>
        </wp:inline>
      </w:drawing>
    </w:r>
    <w:r>
      <w:t xml:space="preserve">    </w:t>
    </w:r>
    <w:r>
      <w:rPr>
        <w:noProof/>
      </w:rPr>
      <w:drawing>
        <wp:inline distT="0" distB="0" distL="0" distR="0" wp14:anchorId="0D37974D" wp14:editId="28B41CCC">
          <wp:extent cx="1003300" cy="105678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
                    <a:extLst>
                      <a:ext uri="{28A0092B-C50C-407E-A947-70E740481C1C}">
                        <a14:useLocalDpi xmlns:a14="http://schemas.microsoft.com/office/drawing/2010/main" val="0"/>
                      </a:ext>
                    </a:extLst>
                  </a:blip>
                  <a:stretch>
                    <a:fillRect/>
                  </a:stretch>
                </pic:blipFill>
                <pic:spPr>
                  <a:xfrm>
                    <a:off x="0" y="0"/>
                    <a:ext cx="1012555" cy="1066536"/>
                  </a:xfrm>
                  <a:prstGeom prst="rect">
                    <a:avLst/>
                  </a:prstGeom>
                </pic:spPr>
              </pic:pic>
            </a:graphicData>
          </a:graphic>
        </wp:inline>
      </w:drawing>
    </w:r>
    <w:r>
      <w:t xml:space="preserve">      </w:t>
    </w:r>
    <w:r>
      <w:rPr>
        <w:noProof/>
      </w:rPr>
      <w:drawing>
        <wp:inline distT="0" distB="0" distL="0" distR="0" wp14:anchorId="20C17DF3" wp14:editId="3A09A3D3">
          <wp:extent cx="1371600" cy="9271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
                    <a:extLst>
                      <a:ext uri="{28A0092B-C50C-407E-A947-70E740481C1C}">
                        <a14:useLocalDpi xmlns:a14="http://schemas.microsoft.com/office/drawing/2010/main" val="0"/>
                      </a:ext>
                    </a:extLst>
                  </a:blip>
                  <a:stretch>
                    <a:fillRect/>
                  </a:stretch>
                </pic:blipFill>
                <pic:spPr>
                  <a:xfrm>
                    <a:off x="0" y="0"/>
                    <a:ext cx="1393851" cy="942140"/>
                  </a:xfrm>
                  <a:prstGeom prst="rect">
                    <a:avLst/>
                  </a:prstGeom>
                </pic:spPr>
              </pic:pic>
            </a:graphicData>
          </a:graphic>
        </wp:inline>
      </w:drawing>
    </w:r>
    <w:r>
      <w:t xml:space="preserve">         </w:t>
    </w:r>
    <w:r>
      <w:rPr>
        <w:noProof/>
      </w:rPr>
      <w:drawing>
        <wp:inline distT="0" distB="0" distL="0" distR="0" wp14:anchorId="1EDEB99C" wp14:editId="618354FC">
          <wp:extent cx="1727200" cy="5588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
                    <a:extLst>
                      <a:ext uri="{28A0092B-C50C-407E-A947-70E740481C1C}">
                        <a14:useLocalDpi xmlns:a14="http://schemas.microsoft.com/office/drawing/2010/main" val="0"/>
                      </a:ext>
                    </a:extLst>
                  </a:blip>
                  <a:stretch>
                    <a:fillRect/>
                  </a:stretch>
                </pic:blipFill>
                <pic:spPr>
                  <a:xfrm>
                    <a:off x="0" y="0"/>
                    <a:ext cx="1757386" cy="56856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9CAC5" w14:textId="77777777" w:rsidR="00F05AA3" w:rsidRDefault="00F05A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FCB50" w14:textId="77777777" w:rsidR="00D016A5" w:rsidRDefault="00D016A5">
    <w:pPr>
      <w:pStyle w:val="Footer"/>
    </w:pPr>
  </w:p>
  <w:p w14:paraId="35E772C3" w14:textId="52337B24" w:rsidR="00D016A5" w:rsidRDefault="00D016A5" w:rsidP="00010646">
    <w:pPr>
      <w:pStyle w:val="Footer"/>
      <w:jc w:val="center"/>
    </w:pPr>
    <w:r>
      <w:rPr>
        <w:noProof/>
      </w:rPr>
      <w:drawing>
        <wp:inline distT="0" distB="0" distL="0" distR="0" wp14:anchorId="0B2A6D40" wp14:editId="75ADE286">
          <wp:extent cx="1041400" cy="10541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041400" cy="1054100"/>
                  </a:xfrm>
                  <a:prstGeom prst="rect">
                    <a:avLst/>
                  </a:prstGeom>
                </pic:spPr>
              </pic:pic>
            </a:graphicData>
          </a:graphic>
        </wp:inline>
      </w:drawing>
    </w:r>
    <w:r>
      <w:t xml:space="preserve">    </w:t>
    </w:r>
    <w:r>
      <w:rPr>
        <w:noProof/>
      </w:rPr>
      <w:drawing>
        <wp:inline distT="0" distB="0" distL="0" distR="0" wp14:anchorId="2AD82A50" wp14:editId="41DC0DD0">
          <wp:extent cx="1003300" cy="105678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
                    <a:extLst>
                      <a:ext uri="{28A0092B-C50C-407E-A947-70E740481C1C}">
                        <a14:useLocalDpi xmlns:a14="http://schemas.microsoft.com/office/drawing/2010/main" val="0"/>
                      </a:ext>
                    </a:extLst>
                  </a:blip>
                  <a:stretch>
                    <a:fillRect/>
                  </a:stretch>
                </pic:blipFill>
                <pic:spPr>
                  <a:xfrm>
                    <a:off x="0" y="0"/>
                    <a:ext cx="1012555" cy="1066536"/>
                  </a:xfrm>
                  <a:prstGeom prst="rect">
                    <a:avLst/>
                  </a:prstGeom>
                </pic:spPr>
              </pic:pic>
            </a:graphicData>
          </a:graphic>
        </wp:inline>
      </w:drawing>
    </w:r>
    <w:r>
      <w:t xml:space="preserve">      </w:t>
    </w:r>
    <w:r>
      <w:rPr>
        <w:noProof/>
      </w:rPr>
      <w:drawing>
        <wp:inline distT="0" distB="0" distL="0" distR="0" wp14:anchorId="320ABABB" wp14:editId="60AA6D6D">
          <wp:extent cx="1371600" cy="9271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
                    <a:extLst>
                      <a:ext uri="{28A0092B-C50C-407E-A947-70E740481C1C}">
                        <a14:useLocalDpi xmlns:a14="http://schemas.microsoft.com/office/drawing/2010/main" val="0"/>
                      </a:ext>
                    </a:extLst>
                  </a:blip>
                  <a:stretch>
                    <a:fillRect/>
                  </a:stretch>
                </pic:blipFill>
                <pic:spPr>
                  <a:xfrm>
                    <a:off x="0" y="0"/>
                    <a:ext cx="1393851" cy="942140"/>
                  </a:xfrm>
                  <a:prstGeom prst="rect">
                    <a:avLst/>
                  </a:prstGeom>
                </pic:spPr>
              </pic:pic>
            </a:graphicData>
          </a:graphic>
        </wp:inline>
      </w:drawing>
    </w:r>
    <w:r>
      <w:t xml:space="preserve">         </w:t>
    </w:r>
    <w:r>
      <w:rPr>
        <w:noProof/>
      </w:rPr>
      <w:drawing>
        <wp:inline distT="0" distB="0" distL="0" distR="0" wp14:anchorId="0534D21B" wp14:editId="566D11AD">
          <wp:extent cx="1727200" cy="5588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
                    <a:extLst>
                      <a:ext uri="{28A0092B-C50C-407E-A947-70E740481C1C}">
                        <a14:useLocalDpi xmlns:a14="http://schemas.microsoft.com/office/drawing/2010/main" val="0"/>
                      </a:ext>
                    </a:extLst>
                  </a:blip>
                  <a:stretch>
                    <a:fillRect/>
                  </a:stretch>
                </pic:blipFill>
                <pic:spPr>
                  <a:xfrm>
                    <a:off x="0" y="0"/>
                    <a:ext cx="1757386" cy="568566"/>
                  </a:xfrm>
                  <a:prstGeom prst="rect">
                    <a:avLst/>
                  </a:prstGeom>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5CA67" w14:textId="77777777" w:rsidR="00D016A5" w:rsidRDefault="00D016A5">
    <w:pPr>
      <w:pStyle w:val="Footer"/>
    </w:pPr>
  </w:p>
  <w:p w14:paraId="1672A963" w14:textId="1BE58F8D" w:rsidR="00D016A5" w:rsidRDefault="00D016A5" w:rsidP="00010646">
    <w:pPr>
      <w:pStyle w:val="Footer"/>
      <w:jc w:val="center"/>
    </w:pPr>
    <w:r>
      <w:rPr>
        <w:noProof/>
      </w:rPr>
      <w:drawing>
        <wp:inline distT="0" distB="0" distL="0" distR="0" wp14:anchorId="47D8F7E2" wp14:editId="69AA666D">
          <wp:extent cx="1041400" cy="1054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041400" cy="1054100"/>
                  </a:xfrm>
                  <a:prstGeom prst="rect">
                    <a:avLst/>
                  </a:prstGeom>
                </pic:spPr>
              </pic:pic>
            </a:graphicData>
          </a:graphic>
        </wp:inline>
      </w:drawing>
    </w:r>
    <w:r>
      <w:t xml:space="preserve">    </w:t>
    </w:r>
    <w:r>
      <w:rPr>
        <w:noProof/>
      </w:rPr>
      <w:drawing>
        <wp:inline distT="0" distB="0" distL="0" distR="0" wp14:anchorId="49284ED2" wp14:editId="2A64A55B">
          <wp:extent cx="1003300" cy="10567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
                    <a:extLst>
                      <a:ext uri="{28A0092B-C50C-407E-A947-70E740481C1C}">
                        <a14:useLocalDpi xmlns:a14="http://schemas.microsoft.com/office/drawing/2010/main" val="0"/>
                      </a:ext>
                    </a:extLst>
                  </a:blip>
                  <a:stretch>
                    <a:fillRect/>
                  </a:stretch>
                </pic:blipFill>
                <pic:spPr>
                  <a:xfrm>
                    <a:off x="0" y="0"/>
                    <a:ext cx="1012555" cy="1066536"/>
                  </a:xfrm>
                  <a:prstGeom prst="rect">
                    <a:avLst/>
                  </a:prstGeom>
                </pic:spPr>
              </pic:pic>
            </a:graphicData>
          </a:graphic>
        </wp:inline>
      </w:drawing>
    </w:r>
    <w:r>
      <w:t xml:space="preserve">      </w:t>
    </w:r>
    <w:r>
      <w:rPr>
        <w:noProof/>
      </w:rPr>
      <w:drawing>
        <wp:inline distT="0" distB="0" distL="0" distR="0" wp14:anchorId="72287071" wp14:editId="146E9DD5">
          <wp:extent cx="1371600" cy="927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
                    <a:extLst>
                      <a:ext uri="{28A0092B-C50C-407E-A947-70E740481C1C}">
                        <a14:useLocalDpi xmlns:a14="http://schemas.microsoft.com/office/drawing/2010/main" val="0"/>
                      </a:ext>
                    </a:extLst>
                  </a:blip>
                  <a:stretch>
                    <a:fillRect/>
                  </a:stretch>
                </pic:blipFill>
                <pic:spPr>
                  <a:xfrm>
                    <a:off x="0" y="0"/>
                    <a:ext cx="1393851" cy="942140"/>
                  </a:xfrm>
                  <a:prstGeom prst="rect">
                    <a:avLst/>
                  </a:prstGeom>
                </pic:spPr>
              </pic:pic>
            </a:graphicData>
          </a:graphic>
        </wp:inline>
      </w:drawing>
    </w:r>
    <w:r>
      <w:t xml:space="preserve">         </w:t>
    </w:r>
    <w:r>
      <w:rPr>
        <w:noProof/>
      </w:rPr>
      <w:drawing>
        <wp:inline distT="0" distB="0" distL="0" distR="0" wp14:anchorId="72A9B4BD" wp14:editId="7387B7FC">
          <wp:extent cx="1727200" cy="55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
                    <a:extLst>
                      <a:ext uri="{28A0092B-C50C-407E-A947-70E740481C1C}">
                        <a14:useLocalDpi xmlns:a14="http://schemas.microsoft.com/office/drawing/2010/main" val="0"/>
                      </a:ext>
                    </a:extLst>
                  </a:blip>
                  <a:stretch>
                    <a:fillRect/>
                  </a:stretch>
                </pic:blipFill>
                <pic:spPr>
                  <a:xfrm>
                    <a:off x="0" y="0"/>
                    <a:ext cx="1757386" cy="568566"/>
                  </a:xfrm>
                  <a:prstGeom prst="rect">
                    <a:avLst/>
                  </a:prstGeom>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756CE" w14:textId="77777777" w:rsidR="00D016A5" w:rsidRDefault="00D016A5">
    <w:pPr>
      <w:pStyle w:val="Footer"/>
    </w:pPr>
  </w:p>
  <w:p w14:paraId="1639D4F6" w14:textId="1C24C887" w:rsidR="00D016A5" w:rsidRDefault="00D016A5" w:rsidP="00010646">
    <w:pPr>
      <w:pStyle w:val="Footer"/>
      <w:jc w:val="center"/>
    </w:pPr>
    <w:r>
      <w:rPr>
        <w:noProof/>
      </w:rPr>
      <w:drawing>
        <wp:inline distT="0" distB="0" distL="0" distR="0" wp14:anchorId="43AB96B7" wp14:editId="28C1D0E9">
          <wp:extent cx="1041400" cy="1054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041400" cy="1054100"/>
                  </a:xfrm>
                  <a:prstGeom prst="rect">
                    <a:avLst/>
                  </a:prstGeom>
                </pic:spPr>
              </pic:pic>
            </a:graphicData>
          </a:graphic>
        </wp:inline>
      </w:drawing>
    </w:r>
    <w:r>
      <w:t xml:space="preserve">    </w:t>
    </w:r>
    <w:r>
      <w:rPr>
        <w:noProof/>
      </w:rPr>
      <w:drawing>
        <wp:inline distT="0" distB="0" distL="0" distR="0" wp14:anchorId="2E7839BC" wp14:editId="554BB8E3">
          <wp:extent cx="1003300" cy="10567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
                    <a:extLst>
                      <a:ext uri="{28A0092B-C50C-407E-A947-70E740481C1C}">
                        <a14:useLocalDpi xmlns:a14="http://schemas.microsoft.com/office/drawing/2010/main" val="0"/>
                      </a:ext>
                    </a:extLst>
                  </a:blip>
                  <a:stretch>
                    <a:fillRect/>
                  </a:stretch>
                </pic:blipFill>
                <pic:spPr>
                  <a:xfrm>
                    <a:off x="0" y="0"/>
                    <a:ext cx="1012555" cy="1066536"/>
                  </a:xfrm>
                  <a:prstGeom prst="rect">
                    <a:avLst/>
                  </a:prstGeom>
                </pic:spPr>
              </pic:pic>
            </a:graphicData>
          </a:graphic>
        </wp:inline>
      </w:drawing>
    </w:r>
    <w:r>
      <w:t xml:space="preserve">      </w:t>
    </w:r>
    <w:r>
      <w:rPr>
        <w:noProof/>
      </w:rPr>
      <w:drawing>
        <wp:inline distT="0" distB="0" distL="0" distR="0" wp14:anchorId="5500C344" wp14:editId="194FE9A3">
          <wp:extent cx="1371600" cy="927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
                    <a:extLst>
                      <a:ext uri="{28A0092B-C50C-407E-A947-70E740481C1C}">
                        <a14:useLocalDpi xmlns:a14="http://schemas.microsoft.com/office/drawing/2010/main" val="0"/>
                      </a:ext>
                    </a:extLst>
                  </a:blip>
                  <a:stretch>
                    <a:fillRect/>
                  </a:stretch>
                </pic:blipFill>
                <pic:spPr>
                  <a:xfrm>
                    <a:off x="0" y="0"/>
                    <a:ext cx="1393851" cy="942140"/>
                  </a:xfrm>
                  <a:prstGeom prst="rect">
                    <a:avLst/>
                  </a:prstGeom>
                </pic:spPr>
              </pic:pic>
            </a:graphicData>
          </a:graphic>
        </wp:inline>
      </w:drawing>
    </w:r>
    <w:r>
      <w:t xml:space="preserve">         </w:t>
    </w:r>
    <w:r>
      <w:rPr>
        <w:noProof/>
      </w:rPr>
      <w:drawing>
        <wp:inline distT="0" distB="0" distL="0" distR="0" wp14:anchorId="29C2D534" wp14:editId="3279EE34">
          <wp:extent cx="1727200" cy="558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
                    <a:extLst>
                      <a:ext uri="{28A0092B-C50C-407E-A947-70E740481C1C}">
                        <a14:useLocalDpi xmlns:a14="http://schemas.microsoft.com/office/drawing/2010/main" val="0"/>
                      </a:ext>
                    </a:extLst>
                  </a:blip>
                  <a:stretch>
                    <a:fillRect/>
                  </a:stretch>
                </pic:blipFill>
                <pic:spPr>
                  <a:xfrm>
                    <a:off x="0" y="0"/>
                    <a:ext cx="1757386" cy="568566"/>
                  </a:xfrm>
                  <a:prstGeom prst="rect">
                    <a:avLst/>
                  </a:prstGeom>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8FE39" w14:textId="77777777" w:rsidR="00D016A5" w:rsidRDefault="00D016A5">
    <w:pPr>
      <w:pStyle w:val="Footer"/>
    </w:pPr>
  </w:p>
  <w:p w14:paraId="239DB6C3" w14:textId="4A2D982B" w:rsidR="00D016A5" w:rsidRDefault="00D016A5" w:rsidP="00010646">
    <w:pPr>
      <w:pStyle w:val="Footer"/>
      <w:jc w:val="center"/>
    </w:pPr>
    <w:r>
      <w:rPr>
        <w:noProof/>
      </w:rPr>
      <w:drawing>
        <wp:inline distT="0" distB="0" distL="0" distR="0" wp14:anchorId="74791973" wp14:editId="64D23CF9">
          <wp:extent cx="1041400" cy="1054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041400" cy="1054100"/>
                  </a:xfrm>
                  <a:prstGeom prst="rect">
                    <a:avLst/>
                  </a:prstGeom>
                </pic:spPr>
              </pic:pic>
            </a:graphicData>
          </a:graphic>
        </wp:inline>
      </w:drawing>
    </w:r>
    <w:r>
      <w:t xml:space="preserve">    </w:t>
    </w:r>
    <w:r>
      <w:rPr>
        <w:noProof/>
      </w:rPr>
      <w:drawing>
        <wp:inline distT="0" distB="0" distL="0" distR="0" wp14:anchorId="707A0162" wp14:editId="13940025">
          <wp:extent cx="1003300" cy="105678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
                    <a:extLst>
                      <a:ext uri="{28A0092B-C50C-407E-A947-70E740481C1C}">
                        <a14:useLocalDpi xmlns:a14="http://schemas.microsoft.com/office/drawing/2010/main" val="0"/>
                      </a:ext>
                    </a:extLst>
                  </a:blip>
                  <a:stretch>
                    <a:fillRect/>
                  </a:stretch>
                </pic:blipFill>
                <pic:spPr>
                  <a:xfrm>
                    <a:off x="0" y="0"/>
                    <a:ext cx="1012555" cy="1066536"/>
                  </a:xfrm>
                  <a:prstGeom prst="rect">
                    <a:avLst/>
                  </a:prstGeom>
                </pic:spPr>
              </pic:pic>
            </a:graphicData>
          </a:graphic>
        </wp:inline>
      </w:drawing>
    </w:r>
    <w:r>
      <w:t xml:space="preserve">      </w:t>
    </w:r>
    <w:r>
      <w:rPr>
        <w:noProof/>
      </w:rPr>
      <w:drawing>
        <wp:inline distT="0" distB="0" distL="0" distR="0" wp14:anchorId="2FD64284" wp14:editId="49C288D6">
          <wp:extent cx="1371600" cy="9271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
                    <a:extLst>
                      <a:ext uri="{28A0092B-C50C-407E-A947-70E740481C1C}">
                        <a14:useLocalDpi xmlns:a14="http://schemas.microsoft.com/office/drawing/2010/main" val="0"/>
                      </a:ext>
                    </a:extLst>
                  </a:blip>
                  <a:stretch>
                    <a:fillRect/>
                  </a:stretch>
                </pic:blipFill>
                <pic:spPr>
                  <a:xfrm>
                    <a:off x="0" y="0"/>
                    <a:ext cx="1393851" cy="942140"/>
                  </a:xfrm>
                  <a:prstGeom prst="rect">
                    <a:avLst/>
                  </a:prstGeom>
                </pic:spPr>
              </pic:pic>
            </a:graphicData>
          </a:graphic>
        </wp:inline>
      </w:drawing>
    </w:r>
    <w:r>
      <w:t xml:space="preserve">         </w:t>
    </w:r>
    <w:r>
      <w:rPr>
        <w:noProof/>
      </w:rPr>
      <w:drawing>
        <wp:inline distT="0" distB="0" distL="0" distR="0" wp14:anchorId="47084D23" wp14:editId="248417ED">
          <wp:extent cx="1727200" cy="558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
                    <a:extLst>
                      <a:ext uri="{28A0092B-C50C-407E-A947-70E740481C1C}">
                        <a14:useLocalDpi xmlns:a14="http://schemas.microsoft.com/office/drawing/2010/main" val="0"/>
                      </a:ext>
                    </a:extLst>
                  </a:blip>
                  <a:stretch>
                    <a:fillRect/>
                  </a:stretch>
                </pic:blipFill>
                <pic:spPr>
                  <a:xfrm>
                    <a:off x="0" y="0"/>
                    <a:ext cx="1757386" cy="56856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1B143" w14:textId="77777777" w:rsidR="00E36359" w:rsidRDefault="00E36359" w:rsidP="00FF492C">
      <w:r>
        <w:separator/>
      </w:r>
    </w:p>
  </w:footnote>
  <w:footnote w:type="continuationSeparator" w:id="0">
    <w:p w14:paraId="4ED2EE01" w14:textId="77777777" w:rsidR="00E36359" w:rsidRDefault="00E36359" w:rsidP="00FF49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C08E8" w14:textId="77777777" w:rsidR="00F05AA3" w:rsidRDefault="00F05A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885F1" w14:textId="6DC3D2E7" w:rsidR="00D016A5" w:rsidRDefault="00D016A5" w:rsidP="00D016A5">
    <w:pPr>
      <w:pStyle w:val="Header"/>
      <w:jc w:val="center"/>
    </w:pPr>
    <w:r>
      <w:rPr>
        <w:noProof/>
      </w:rPr>
      <w:drawing>
        <wp:inline distT="0" distB="0" distL="0" distR="0" wp14:anchorId="0C7EE726" wp14:editId="7B7660C3">
          <wp:extent cx="939800" cy="955575"/>
          <wp:effectExtent l="0" t="0" r="0" b="0"/>
          <wp:docPr id="47" name="Picture 4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5185" cy="104239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382B3" w14:textId="77777777" w:rsidR="00F05AA3" w:rsidRDefault="00F05A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F310E"/>
    <w:multiLevelType w:val="hybridMultilevel"/>
    <w:tmpl w:val="3A04F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0176C"/>
    <w:multiLevelType w:val="multilevel"/>
    <w:tmpl w:val="7D802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1A29A4"/>
    <w:multiLevelType w:val="hybridMultilevel"/>
    <w:tmpl w:val="35CC3806"/>
    <w:lvl w:ilvl="0" w:tplc="933AA4AE">
      <w:start w:val="1"/>
      <w:numFmt w:val="low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A37892"/>
    <w:multiLevelType w:val="multilevel"/>
    <w:tmpl w:val="AB8A3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E1471F"/>
    <w:multiLevelType w:val="multilevel"/>
    <w:tmpl w:val="6FDA9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D5063C"/>
    <w:multiLevelType w:val="multilevel"/>
    <w:tmpl w:val="AABA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C55EAC"/>
    <w:multiLevelType w:val="multilevel"/>
    <w:tmpl w:val="72E2B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074B22"/>
    <w:multiLevelType w:val="multilevel"/>
    <w:tmpl w:val="57F4B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9158D5"/>
    <w:multiLevelType w:val="multilevel"/>
    <w:tmpl w:val="6862E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1E1090"/>
    <w:multiLevelType w:val="multilevel"/>
    <w:tmpl w:val="518E3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556C57"/>
    <w:multiLevelType w:val="multilevel"/>
    <w:tmpl w:val="1F068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555019"/>
    <w:multiLevelType w:val="multilevel"/>
    <w:tmpl w:val="150A7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B777A2"/>
    <w:multiLevelType w:val="multilevel"/>
    <w:tmpl w:val="B2168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282FE2"/>
    <w:multiLevelType w:val="hybridMultilevel"/>
    <w:tmpl w:val="576664F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4" w15:restartNumberingAfterBreak="0">
    <w:nsid w:val="51E763C0"/>
    <w:multiLevelType w:val="multilevel"/>
    <w:tmpl w:val="0246A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BC6C52"/>
    <w:multiLevelType w:val="multilevel"/>
    <w:tmpl w:val="851C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434FCB"/>
    <w:multiLevelType w:val="multilevel"/>
    <w:tmpl w:val="B0788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186454"/>
    <w:multiLevelType w:val="multilevel"/>
    <w:tmpl w:val="51766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4E1552"/>
    <w:multiLevelType w:val="multilevel"/>
    <w:tmpl w:val="49C0D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015CF8"/>
    <w:multiLevelType w:val="multilevel"/>
    <w:tmpl w:val="9EEA1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400596"/>
    <w:multiLevelType w:val="multilevel"/>
    <w:tmpl w:val="FA74E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122016D"/>
    <w:multiLevelType w:val="multilevel"/>
    <w:tmpl w:val="A7C24C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7901D4"/>
    <w:multiLevelType w:val="multilevel"/>
    <w:tmpl w:val="C5CCB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E20CE4"/>
    <w:multiLevelType w:val="multilevel"/>
    <w:tmpl w:val="97F2B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4B36C1"/>
    <w:multiLevelType w:val="multilevel"/>
    <w:tmpl w:val="7C60D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5"/>
  </w:num>
  <w:num w:numId="3">
    <w:abstractNumId w:val="18"/>
  </w:num>
  <w:num w:numId="4">
    <w:abstractNumId w:val="1"/>
  </w:num>
  <w:num w:numId="5">
    <w:abstractNumId w:val="16"/>
  </w:num>
  <w:num w:numId="6">
    <w:abstractNumId w:val="19"/>
  </w:num>
  <w:num w:numId="7">
    <w:abstractNumId w:val="3"/>
  </w:num>
  <w:num w:numId="8">
    <w:abstractNumId w:val="22"/>
  </w:num>
  <w:num w:numId="9">
    <w:abstractNumId w:val="10"/>
  </w:num>
  <w:num w:numId="10">
    <w:abstractNumId w:val="17"/>
  </w:num>
  <w:num w:numId="11">
    <w:abstractNumId w:val="23"/>
  </w:num>
  <w:num w:numId="12">
    <w:abstractNumId w:val="6"/>
  </w:num>
  <w:num w:numId="13">
    <w:abstractNumId w:val="6"/>
  </w:num>
  <w:num w:numId="14">
    <w:abstractNumId w:val="21"/>
  </w:num>
  <w:num w:numId="15">
    <w:abstractNumId w:val="21"/>
  </w:num>
  <w:num w:numId="16">
    <w:abstractNumId w:val="4"/>
  </w:num>
  <w:num w:numId="17">
    <w:abstractNumId w:val="11"/>
  </w:num>
  <w:num w:numId="18">
    <w:abstractNumId w:val="11"/>
  </w:num>
  <w:num w:numId="19">
    <w:abstractNumId w:val="11"/>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20">
    <w:abstractNumId w:val="12"/>
  </w:num>
  <w:num w:numId="21">
    <w:abstractNumId w:val="14"/>
  </w:num>
  <w:num w:numId="22">
    <w:abstractNumId w:val="5"/>
  </w:num>
  <w:num w:numId="23">
    <w:abstractNumId w:val="8"/>
  </w:num>
  <w:num w:numId="24">
    <w:abstractNumId w:val="24"/>
  </w:num>
  <w:num w:numId="25">
    <w:abstractNumId w:val="7"/>
  </w:num>
  <w:num w:numId="26">
    <w:abstractNumId w:val="20"/>
  </w:num>
  <w:num w:numId="27">
    <w:abstractNumId w:val="6"/>
  </w:num>
  <w:num w:numId="28">
    <w:abstractNumId w:val="13"/>
  </w:num>
  <w:num w:numId="29">
    <w:abstractNumId w:val="0"/>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C2E"/>
    <w:rsid w:val="00010646"/>
    <w:rsid w:val="00043F3E"/>
    <w:rsid w:val="0006669D"/>
    <w:rsid w:val="000828A1"/>
    <w:rsid w:val="00085275"/>
    <w:rsid w:val="000974BB"/>
    <w:rsid w:val="000A3E25"/>
    <w:rsid w:val="000B0583"/>
    <w:rsid w:val="000B31F3"/>
    <w:rsid w:val="000D0D25"/>
    <w:rsid w:val="000E3338"/>
    <w:rsid w:val="000F1805"/>
    <w:rsid w:val="000F5335"/>
    <w:rsid w:val="000F79E2"/>
    <w:rsid w:val="0010724A"/>
    <w:rsid w:val="00112EB7"/>
    <w:rsid w:val="00126CD2"/>
    <w:rsid w:val="00127904"/>
    <w:rsid w:val="001553B3"/>
    <w:rsid w:val="00157CE7"/>
    <w:rsid w:val="00163426"/>
    <w:rsid w:val="00175A3F"/>
    <w:rsid w:val="001B4C30"/>
    <w:rsid w:val="001D3FFB"/>
    <w:rsid w:val="001D4978"/>
    <w:rsid w:val="001D4EBA"/>
    <w:rsid w:val="001F1CA4"/>
    <w:rsid w:val="001F45EF"/>
    <w:rsid w:val="0021259A"/>
    <w:rsid w:val="0021437A"/>
    <w:rsid w:val="00225D61"/>
    <w:rsid w:val="00232C0F"/>
    <w:rsid w:val="00235C12"/>
    <w:rsid w:val="0027103B"/>
    <w:rsid w:val="002A5A79"/>
    <w:rsid w:val="002A666D"/>
    <w:rsid w:val="002A72C4"/>
    <w:rsid w:val="002C318C"/>
    <w:rsid w:val="002C354E"/>
    <w:rsid w:val="002E0354"/>
    <w:rsid w:val="002F6854"/>
    <w:rsid w:val="0035259B"/>
    <w:rsid w:val="00365BCF"/>
    <w:rsid w:val="00372984"/>
    <w:rsid w:val="00380553"/>
    <w:rsid w:val="003827DD"/>
    <w:rsid w:val="00394BD0"/>
    <w:rsid w:val="003D6FC7"/>
    <w:rsid w:val="003E6B54"/>
    <w:rsid w:val="00400B58"/>
    <w:rsid w:val="00401282"/>
    <w:rsid w:val="00441FB3"/>
    <w:rsid w:val="0045151B"/>
    <w:rsid w:val="00451BCF"/>
    <w:rsid w:val="004C3430"/>
    <w:rsid w:val="004D45DD"/>
    <w:rsid w:val="004F6C4D"/>
    <w:rsid w:val="004F7470"/>
    <w:rsid w:val="005064AA"/>
    <w:rsid w:val="00530596"/>
    <w:rsid w:val="00535911"/>
    <w:rsid w:val="0057272C"/>
    <w:rsid w:val="00580747"/>
    <w:rsid w:val="00584F17"/>
    <w:rsid w:val="00585826"/>
    <w:rsid w:val="00595AB8"/>
    <w:rsid w:val="005A66F9"/>
    <w:rsid w:val="005E6E37"/>
    <w:rsid w:val="005F1D53"/>
    <w:rsid w:val="00600B77"/>
    <w:rsid w:val="00600CE0"/>
    <w:rsid w:val="006016FF"/>
    <w:rsid w:val="00603D59"/>
    <w:rsid w:val="006203B0"/>
    <w:rsid w:val="00622062"/>
    <w:rsid w:val="00640CA0"/>
    <w:rsid w:val="00643683"/>
    <w:rsid w:val="00660B77"/>
    <w:rsid w:val="006640CF"/>
    <w:rsid w:val="00671A60"/>
    <w:rsid w:val="006806CE"/>
    <w:rsid w:val="00685450"/>
    <w:rsid w:val="00693C4D"/>
    <w:rsid w:val="006A098D"/>
    <w:rsid w:val="006C6546"/>
    <w:rsid w:val="006D0027"/>
    <w:rsid w:val="006E3913"/>
    <w:rsid w:val="006F6ECF"/>
    <w:rsid w:val="00707EA8"/>
    <w:rsid w:val="00711CD4"/>
    <w:rsid w:val="00715AD9"/>
    <w:rsid w:val="007210FB"/>
    <w:rsid w:val="00723BB7"/>
    <w:rsid w:val="007565F5"/>
    <w:rsid w:val="0076723E"/>
    <w:rsid w:val="00767303"/>
    <w:rsid w:val="00772BBB"/>
    <w:rsid w:val="0078713B"/>
    <w:rsid w:val="00790257"/>
    <w:rsid w:val="007A620C"/>
    <w:rsid w:val="007B0C64"/>
    <w:rsid w:val="007B203B"/>
    <w:rsid w:val="007B3C2E"/>
    <w:rsid w:val="007C07C9"/>
    <w:rsid w:val="007D0596"/>
    <w:rsid w:val="007E0343"/>
    <w:rsid w:val="007E4FF7"/>
    <w:rsid w:val="007F36DD"/>
    <w:rsid w:val="00803FA4"/>
    <w:rsid w:val="008048E1"/>
    <w:rsid w:val="00812B44"/>
    <w:rsid w:val="00817100"/>
    <w:rsid w:val="00822650"/>
    <w:rsid w:val="0083604E"/>
    <w:rsid w:val="00836684"/>
    <w:rsid w:val="00877D4A"/>
    <w:rsid w:val="00880F49"/>
    <w:rsid w:val="008903EA"/>
    <w:rsid w:val="0089446D"/>
    <w:rsid w:val="008971EE"/>
    <w:rsid w:val="00897769"/>
    <w:rsid w:val="008B1324"/>
    <w:rsid w:val="008B1FEE"/>
    <w:rsid w:val="008E17D7"/>
    <w:rsid w:val="008E36AE"/>
    <w:rsid w:val="008E3B61"/>
    <w:rsid w:val="00921936"/>
    <w:rsid w:val="00932CF2"/>
    <w:rsid w:val="009404CA"/>
    <w:rsid w:val="00942B4B"/>
    <w:rsid w:val="00960E12"/>
    <w:rsid w:val="009726B4"/>
    <w:rsid w:val="00974EA1"/>
    <w:rsid w:val="0098029C"/>
    <w:rsid w:val="009B6741"/>
    <w:rsid w:val="009B69C2"/>
    <w:rsid w:val="009C77D5"/>
    <w:rsid w:val="009F790F"/>
    <w:rsid w:val="00A13B9D"/>
    <w:rsid w:val="00A213B9"/>
    <w:rsid w:val="00A21775"/>
    <w:rsid w:val="00A322B9"/>
    <w:rsid w:val="00A43FB7"/>
    <w:rsid w:val="00A45197"/>
    <w:rsid w:val="00A6515E"/>
    <w:rsid w:val="00A65FD5"/>
    <w:rsid w:val="00A75DFE"/>
    <w:rsid w:val="00A801A5"/>
    <w:rsid w:val="00A84A3E"/>
    <w:rsid w:val="00A96D5C"/>
    <w:rsid w:val="00AA1F3E"/>
    <w:rsid w:val="00AA3E70"/>
    <w:rsid w:val="00AB021A"/>
    <w:rsid w:val="00AB34C4"/>
    <w:rsid w:val="00AC1A15"/>
    <w:rsid w:val="00AC646E"/>
    <w:rsid w:val="00AD40E6"/>
    <w:rsid w:val="00AF6599"/>
    <w:rsid w:val="00B13769"/>
    <w:rsid w:val="00B13943"/>
    <w:rsid w:val="00B2246A"/>
    <w:rsid w:val="00B25902"/>
    <w:rsid w:val="00B34123"/>
    <w:rsid w:val="00B6197F"/>
    <w:rsid w:val="00B701CB"/>
    <w:rsid w:val="00B75D40"/>
    <w:rsid w:val="00B92C07"/>
    <w:rsid w:val="00BA317E"/>
    <w:rsid w:val="00BB13F7"/>
    <w:rsid w:val="00BB579B"/>
    <w:rsid w:val="00BC28C3"/>
    <w:rsid w:val="00BD296D"/>
    <w:rsid w:val="00BE4A3D"/>
    <w:rsid w:val="00BE51AA"/>
    <w:rsid w:val="00BE6A55"/>
    <w:rsid w:val="00BE7BE2"/>
    <w:rsid w:val="00BF6A6A"/>
    <w:rsid w:val="00C004BB"/>
    <w:rsid w:val="00C07F24"/>
    <w:rsid w:val="00C355EE"/>
    <w:rsid w:val="00C558B4"/>
    <w:rsid w:val="00C7238A"/>
    <w:rsid w:val="00C731A6"/>
    <w:rsid w:val="00C74058"/>
    <w:rsid w:val="00C92C88"/>
    <w:rsid w:val="00C9534E"/>
    <w:rsid w:val="00CB0C53"/>
    <w:rsid w:val="00CD4EA1"/>
    <w:rsid w:val="00CD75F2"/>
    <w:rsid w:val="00D016A5"/>
    <w:rsid w:val="00D10739"/>
    <w:rsid w:val="00D30CAC"/>
    <w:rsid w:val="00D33204"/>
    <w:rsid w:val="00D51E3F"/>
    <w:rsid w:val="00D80451"/>
    <w:rsid w:val="00D844D5"/>
    <w:rsid w:val="00DB2DFA"/>
    <w:rsid w:val="00DB4639"/>
    <w:rsid w:val="00DB7418"/>
    <w:rsid w:val="00DC0635"/>
    <w:rsid w:val="00DE0E2C"/>
    <w:rsid w:val="00E265F2"/>
    <w:rsid w:val="00E26AFC"/>
    <w:rsid w:val="00E31985"/>
    <w:rsid w:val="00E36359"/>
    <w:rsid w:val="00E50A64"/>
    <w:rsid w:val="00E547DA"/>
    <w:rsid w:val="00E6124C"/>
    <w:rsid w:val="00EA73E4"/>
    <w:rsid w:val="00EE3A1B"/>
    <w:rsid w:val="00F05AA3"/>
    <w:rsid w:val="00F13984"/>
    <w:rsid w:val="00F31537"/>
    <w:rsid w:val="00F3389E"/>
    <w:rsid w:val="00F356D0"/>
    <w:rsid w:val="00F36257"/>
    <w:rsid w:val="00F476D3"/>
    <w:rsid w:val="00F67A38"/>
    <w:rsid w:val="00F71837"/>
    <w:rsid w:val="00F76BC5"/>
    <w:rsid w:val="00F86717"/>
    <w:rsid w:val="00F972A2"/>
    <w:rsid w:val="00FD2B69"/>
    <w:rsid w:val="00FE63C9"/>
    <w:rsid w:val="00FF492C"/>
    <w:rsid w:val="00FF4F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58AF4D"/>
  <w15:chartTrackingRefBased/>
  <w15:docId w15:val="{7B94E172-B9AF-974D-A25F-D703DDCDA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66F9"/>
    <w:rPr>
      <w:rFonts w:eastAsia="Times New Roman" w:cs="Times New Roman"/>
    </w:rPr>
  </w:style>
  <w:style w:type="paragraph" w:styleId="Heading1">
    <w:name w:val="heading 1"/>
    <w:basedOn w:val="Normal"/>
    <w:next w:val="Normal"/>
    <w:link w:val="Heading1Char"/>
    <w:uiPriority w:val="9"/>
    <w:qFormat/>
    <w:rsid w:val="00D016A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801A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21437A"/>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492C"/>
    <w:pPr>
      <w:tabs>
        <w:tab w:val="center" w:pos="4680"/>
        <w:tab w:val="right" w:pos="9360"/>
      </w:tabs>
    </w:pPr>
  </w:style>
  <w:style w:type="character" w:customStyle="1" w:styleId="HeaderChar">
    <w:name w:val="Header Char"/>
    <w:basedOn w:val="DefaultParagraphFont"/>
    <w:link w:val="Header"/>
    <w:uiPriority w:val="99"/>
    <w:rsid w:val="00FF492C"/>
  </w:style>
  <w:style w:type="paragraph" w:styleId="Footer">
    <w:name w:val="footer"/>
    <w:basedOn w:val="Normal"/>
    <w:link w:val="FooterChar"/>
    <w:uiPriority w:val="99"/>
    <w:unhideWhenUsed/>
    <w:rsid w:val="00FF492C"/>
    <w:pPr>
      <w:tabs>
        <w:tab w:val="center" w:pos="4680"/>
        <w:tab w:val="right" w:pos="9360"/>
      </w:tabs>
    </w:pPr>
  </w:style>
  <w:style w:type="character" w:customStyle="1" w:styleId="FooterChar">
    <w:name w:val="Footer Char"/>
    <w:basedOn w:val="DefaultParagraphFont"/>
    <w:link w:val="Footer"/>
    <w:uiPriority w:val="99"/>
    <w:rsid w:val="00FF492C"/>
  </w:style>
  <w:style w:type="paragraph" w:styleId="NormalWeb">
    <w:name w:val="Normal (Web)"/>
    <w:basedOn w:val="Normal"/>
    <w:uiPriority w:val="99"/>
    <w:unhideWhenUsed/>
    <w:rsid w:val="00A213B9"/>
    <w:pPr>
      <w:spacing w:before="100" w:beforeAutospacing="1" w:after="100" w:afterAutospacing="1"/>
    </w:pPr>
  </w:style>
  <w:style w:type="character" w:customStyle="1" w:styleId="Heading3Char">
    <w:name w:val="Heading 3 Char"/>
    <w:basedOn w:val="DefaultParagraphFont"/>
    <w:link w:val="Heading3"/>
    <w:uiPriority w:val="9"/>
    <w:rsid w:val="0021437A"/>
    <w:rPr>
      <w:rFonts w:eastAsia="Times New Roman" w:cs="Times New Roman"/>
      <w:b/>
      <w:bCs/>
      <w:sz w:val="27"/>
      <w:szCs w:val="27"/>
    </w:rPr>
  </w:style>
  <w:style w:type="character" w:styleId="Hyperlink">
    <w:name w:val="Hyperlink"/>
    <w:basedOn w:val="DefaultParagraphFont"/>
    <w:uiPriority w:val="99"/>
    <w:unhideWhenUsed/>
    <w:rsid w:val="00B2246A"/>
    <w:rPr>
      <w:color w:val="0000FF"/>
      <w:u w:val="single"/>
    </w:rPr>
  </w:style>
  <w:style w:type="character" w:styleId="Emphasis">
    <w:name w:val="Emphasis"/>
    <w:basedOn w:val="DefaultParagraphFont"/>
    <w:uiPriority w:val="20"/>
    <w:qFormat/>
    <w:rsid w:val="008048E1"/>
    <w:rPr>
      <w:i/>
      <w:iCs/>
    </w:rPr>
  </w:style>
  <w:style w:type="paragraph" w:styleId="ListParagraph">
    <w:name w:val="List Paragraph"/>
    <w:basedOn w:val="Normal"/>
    <w:uiPriority w:val="34"/>
    <w:qFormat/>
    <w:rsid w:val="008048E1"/>
    <w:pPr>
      <w:ind w:left="720"/>
      <w:contextualSpacing/>
    </w:pPr>
  </w:style>
  <w:style w:type="character" w:customStyle="1" w:styleId="apple-tab-span">
    <w:name w:val="apple-tab-span"/>
    <w:basedOn w:val="DefaultParagraphFont"/>
    <w:rsid w:val="00F356D0"/>
  </w:style>
  <w:style w:type="paragraph" w:styleId="Revision">
    <w:name w:val="Revision"/>
    <w:hidden/>
    <w:uiPriority w:val="99"/>
    <w:semiHidden/>
    <w:rsid w:val="00D80451"/>
    <w:rPr>
      <w:rFonts w:eastAsia="Times New Roman" w:cs="Times New Roman"/>
    </w:rPr>
  </w:style>
  <w:style w:type="character" w:styleId="CommentReference">
    <w:name w:val="annotation reference"/>
    <w:basedOn w:val="DefaultParagraphFont"/>
    <w:uiPriority w:val="99"/>
    <w:semiHidden/>
    <w:unhideWhenUsed/>
    <w:rsid w:val="00380553"/>
    <w:rPr>
      <w:sz w:val="16"/>
      <w:szCs w:val="16"/>
    </w:rPr>
  </w:style>
  <w:style w:type="paragraph" w:styleId="CommentText">
    <w:name w:val="annotation text"/>
    <w:basedOn w:val="Normal"/>
    <w:link w:val="CommentTextChar"/>
    <w:uiPriority w:val="99"/>
    <w:semiHidden/>
    <w:unhideWhenUsed/>
    <w:rsid w:val="00380553"/>
    <w:rPr>
      <w:sz w:val="20"/>
      <w:szCs w:val="20"/>
    </w:rPr>
  </w:style>
  <w:style w:type="character" w:customStyle="1" w:styleId="CommentTextChar">
    <w:name w:val="Comment Text Char"/>
    <w:basedOn w:val="DefaultParagraphFont"/>
    <w:link w:val="CommentText"/>
    <w:uiPriority w:val="99"/>
    <w:semiHidden/>
    <w:rsid w:val="00380553"/>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80553"/>
    <w:rPr>
      <w:b/>
      <w:bCs/>
    </w:rPr>
  </w:style>
  <w:style w:type="character" w:customStyle="1" w:styleId="CommentSubjectChar">
    <w:name w:val="Comment Subject Char"/>
    <w:basedOn w:val="CommentTextChar"/>
    <w:link w:val="CommentSubject"/>
    <w:uiPriority w:val="99"/>
    <w:semiHidden/>
    <w:rsid w:val="00380553"/>
    <w:rPr>
      <w:rFonts w:eastAsia="Times New Roman" w:cs="Times New Roman"/>
      <w:b/>
      <w:bCs/>
      <w:sz w:val="20"/>
      <w:szCs w:val="20"/>
    </w:rPr>
  </w:style>
  <w:style w:type="character" w:customStyle="1" w:styleId="Heading2Char">
    <w:name w:val="Heading 2 Char"/>
    <w:basedOn w:val="DefaultParagraphFont"/>
    <w:link w:val="Heading2"/>
    <w:uiPriority w:val="9"/>
    <w:semiHidden/>
    <w:rsid w:val="00A801A5"/>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A801A5"/>
    <w:rPr>
      <w:b/>
      <w:bCs/>
    </w:rPr>
  </w:style>
  <w:style w:type="character" w:customStyle="1" w:styleId="normaltextrun">
    <w:name w:val="normaltextrun"/>
    <w:basedOn w:val="DefaultParagraphFont"/>
    <w:rsid w:val="00A801A5"/>
  </w:style>
  <w:style w:type="paragraph" w:styleId="FootnoteText">
    <w:name w:val="footnote text"/>
    <w:basedOn w:val="Normal"/>
    <w:link w:val="FootnoteTextChar"/>
    <w:uiPriority w:val="99"/>
    <w:semiHidden/>
    <w:unhideWhenUsed/>
    <w:rsid w:val="00A801A5"/>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A801A5"/>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A801A5"/>
    <w:rPr>
      <w:vertAlign w:val="superscript"/>
    </w:rPr>
  </w:style>
  <w:style w:type="character" w:customStyle="1" w:styleId="given-name">
    <w:name w:val="given-name"/>
    <w:basedOn w:val="DefaultParagraphFont"/>
    <w:rsid w:val="00A801A5"/>
  </w:style>
  <w:style w:type="character" w:customStyle="1" w:styleId="text">
    <w:name w:val="text"/>
    <w:basedOn w:val="DefaultParagraphFont"/>
    <w:rsid w:val="00A801A5"/>
  </w:style>
  <w:style w:type="paragraph" w:customStyle="1" w:styleId="Default">
    <w:name w:val="Default"/>
    <w:rsid w:val="00A801A5"/>
    <w:pPr>
      <w:autoSpaceDE w:val="0"/>
      <w:autoSpaceDN w:val="0"/>
      <w:adjustRightInd w:val="0"/>
    </w:pPr>
    <w:rPr>
      <w:rFonts w:ascii="Calibri" w:hAnsi="Calibri" w:cs="Calibri"/>
      <w:color w:val="000000"/>
    </w:rPr>
  </w:style>
  <w:style w:type="character" w:styleId="FollowedHyperlink">
    <w:name w:val="FollowedHyperlink"/>
    <w:basedOn w:val="DefaultParagraphFont"/>
    <w:uiPriority w:val="99"/>
    <w:semiHidden/>
    <w:unhideWhenUsed/>
    <w:rsid w:val="00A801A5"/>
    <w:rPr>
      <w:color w:val="954F72" w:themeColor="followedHyperlink"/>
      <w:u w:val="single"/>
    </w:rPr>
  </w:style>
  <w:style w:type="character" w:customStyle="1" w:styleId="Heading1Char">
    <w:name w:val="Heading 1 Char"/>
    <w:basedOn w:val="DefaultParagraphFont"/>
    <w:link w:val="Heading1"/>
    <w:uiPriority w:val="9"/>
    <w:rsid w:val="00D016A5"/>
    <w:rPr>
      <w:rFonts w:asciiTheme="majorHAnsi" w:eastAsiaTheme="majorEastAsia" w:hAnsiTheme="majorHAnsi" w:cstheme="majorBidi"/>
      <w:color w:val="2F5496" w:themeColor="accent1" w:themeShade="BF"/>
      <w:sz w:val="32"/>
      <w:szCs w:val="32"/>
    </w:rPr>
  </w:style>
  <w:style w:type="paragraph" w:styleId="NoSpacing">
    <w:name w:val="No Spacing"/>
    <w:link w:val="NoSpacingChar"/>
    <w:uiPriority w:val="1"/>
    <w:qFormat/>
    <w:rsid w:val="00D016A5"/>
    <w:rPr>
      <w:rFonts w:asciiTheme="minorHAnsi" w:eastAsiaTheme="minorEastAsia" w:hAnsiTheme="minorHAnsi" w:cstheme="minorBidi"/>
      <w:sz w:val="22"/>
      <w:szCs w:val="22"/>
      <w:lang w:eastAsia="zh-CN"/>
    </w:rPr>
  </w:style>
  <w:style w:type="character" w:customStyle="1" w:styleId="NoSpacingChar">
    <w:name w:val="No Spacing Char"/>
    <w:basedOn w:val="DefaultParagraphFont"/>
    <w:link w:val="NoSpacing"/>
    <w:uiPriority w:val="1"/>
    <w:rsid w:val="00D016A5"/>
    <w:rPr>
      <w:rFonts w:asciiTheme="minorHAnsi" w:eastAsiaTheme="minorEastAsia" w:hAnsiTheme="minorHAnsi" w:cstheme="minorBidi"/>
      <w:sz w:val="22"/>
      <w:szCs w:val="22"/>
      <w:lang w:eastAsia="zh-CN"/>
    </w:rPr>
  </w:style>
  <w:style w:type="table" w:styleId="TableGrid">
    <w:name w:val="Table Grid"/>
    <w:basedOn w:val="TableNormal"/>
    <w:uiPriority w:val="39"/>
    <w:rsid w:val="00D016A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D016A5"/>
  </w:style>
  <w:style w:type="character" w:styleId="UnresolvedMention">
    <w:name w:val="Unresolved Mention"/>
    <w:basedOn w:val="DefaultParagraphFont"/>
    <w:uiPriority w:val="99"/>
    <w:semiHidden/>
    <w:unhideWhenUsed/>
    <w:rsid w:val="00D016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76506">
      <w:bodyDiv w:val="1"/>
      <w:marLeft w:val="0"/>
      <w:marRight w:val="0"/>
      <w:marTop w:val="0"/>
      <w:marBottom w:val="0"/>
      <w:divBdr>
        <w:top w:val="none" w:sz="0" w:space="0" w:color="auto"/>
        <w:left w:val="none" w:sz="0" w:space="0" w:color="auto"/>
        <w:bottom w:val="none" w:sz="0" w:space="0" w:color="auto"/>
        <w:right w:val="none" w:sz="0" w:space="0" w:color="auto"/>
      </w:divBdr>
    </w:div>
    <w:div w:id="140388832">
      <w:bodyDiv w:val="1"/>
      <w:marLeft w:val="0"/>
      <w:marRight w:val="0"/>
      <w:marTop w:val="0"/>
      <w:marBottom w:val="0"/>
      <w:divBdr>
        <w:top w:val="none" w:sz="0" w:space="0" w:color="auto"/>
        <w:left w:val="none" w:sz="0" w:space="0" w:color="auto"/>
        <w:bottom w:val="none" w:sz="0" w:space="0" w:color="auto"/>
        <w:right w:val="none" w:sz="0" w:space="0" w:color="auto"/>
      </w:divBdr>
    </w:div>
    <w:div w:id="193033117">
      <w:bodyDiv w:val="1"/>
      <w:marLeft w:val="0"/>
      <w:marRight w:val="0"/>
      <w:marTop w:val="0"/>
      <w:marBottom w:val="0"/>
      <w:divBdr>
        <w:top w:val="none" w:sz="0" w:space="0" w:color="auto"/>
        <w:left w:val="none" w:sz="0" w:space="0" w:color="auto"/>
        <w:bottom w:val="none" w:sz="0" w:space="0" w:color="auto"/>
        <w:right w:val="none" w:sz="0" w:space="0" w:color="auto"/>
      </w:divBdr>
    </w:div>
    <w:div w:id="350836998">
      <w:bodyDiv w:val="1"/>
      <w:marLeft w:val="0"/>
      <w:marRight w:val="0"/>
      <w:marTop w:val="0"/>
      <w:marBottom w:val="0"/>
      <w:divBdr>
        <w:top w:val="none" w:sz="0" w:space="0" w:color="auto"/>
        <w:left w:val="none" w:sz="0" w:space="0" w:color="auto"/>
        <w:bottom w:val="none" w:sz="0" w:space="0" w:color="auto"/>
        <w:right w:val="none" w:sz="0" w:space="0" w:color="auto"/>
      </w:divBdr>
    </w:div>
    <w:div w:id="399716983">
      <w:bodyDiv w:val="1"/>
      <w:marLeft w:val="0"/>
      <w:marRight w:val="0"/>
      <w:marTop w:val="0"/>
      <w:marBottom w:val="0"/>
      <w:divBdr>
        <w:top w:val="none" w:sz="0" w:space="0" w:color="auto"/>
        <w:left w:val="none" w:sz="0" w:space="0" w:color="auto"/>
        <w:bottom w:val="none" w:sz="0" w:space="0" w:color="auto"/>
        <w:right w:val="none" w:sz="0" w:space="0" w:color="auto"/>
      </w:divBdr>
    </w:div>
    <w:div w:id="497235590">
      <w:bodyDiv w:val="1"/>
      <w:marLeft w:val="0"/>
      <w:marRight w:val="0"/>
      <w:marTop w:val="0"/>
      <w:marBottom w:val="0"/>
      <w:divBdr>
        <w:top w:val="none" w:sz="0" w:space="0" w:color="auto"/>
        <w:left w:val="none" w:sz="0" w:space="0" w:color="auto"/>
        <w:bottom w:val="none" w:sz="0" w:space="0" w:color="auto"/>
        <w:right w:val="none" w:sz="0" w:space="0" w:color="auto"/>
      </w:divBdr>
    </w:div>
    <w:div w:id="518783015">
      <w:bodyDiv w:val="1"/>
      <w:marLeft w:val="0"/>
      <w:marRight w:val="0"/>
      <w:marTop w:val="0"/>
      <w:marBottom w:val="0"/>
      <w:divBdr>
        <w:top w:val="none" w:sz="0" w:space="0" w:color="auto"/>
        <w:left w:val="none" w:sz="0" w:space="0" w:color="auto"/>
        <w:bottom w:val="none" w:sz="0" w:space="0" w:color="auto"/>
        <w:right w:val="none" w:sz="0" w:space="0" w:color="auto"/>
      </w:divBdr>
    </w:div>
    <w:div w:id="521014285">
      <w:bodyDiv w:val="1"/>
      <w:marLeft w:val="0"/>
      <w:marRight w:val="0"/>
      <w:marTop w:val="0"/>
      <w:marBottom w:val="0"/>
      <w:divBdr>
        <w:top w:val="none" w:sz="0" w:space="0" w:color="auto"/>
        <w:left w:val="none" w:sz="0" w:space="0" w:color="auto"/>
        <w:bottom w:val="none" w:sz="0" w:space="0" w:color="auto"/>
        <w:right w:val="none" w:sz="0" w:space="0" w:color="auto"/>
      </w:divBdr>
    </w:div>
    <w:div w:id="594290049">
      <w:bodyDiv w:val="1"/>
      <w:marLeft w:val="0"/>
      <w:marRight w:val="0"/>
      <w:marTop w:val="0"/>
      <w:marBottom w:val="0"/>
      <w:divBdr>
        <w:top w:val="none" w:sz="0" w:space="0" w:color="auto"/>
        <w:left w:val="none" w:sz="0" w:space="0" w:color="auto"/>
        <w:bottom w:val="none" w:sz="0" w:space="0" w:color="auto"/>
        <w:right w:val="none" w:sz="0" w:space="0" w:color="auto"/>
      </w:divBdr>
    </w:div>
    <w:div w:id="626860739">
      <w:bodyDiv w:val="1"/>
      <w:marLeft w:val="0"/>
      <w:marRight w:val="0"/>
      <w:marTop w:val="0"/>
      <w:marBottom w:val="0"/>
      <w:divBdr>
        <w:top w:val="none" w:sz="0" w:space="0" w:color="auto"/>
        <w:left w:val="none" w:sz="0" w:space="0" w:color="auto"/>
        <w:bottom w:val="none" w:sz="0" w:space="0" w:color="auto"/>
        <w:right w:val="none" w:sz="0" w:space="0" w:color="auto"/>
      </w:divBdr>
    </w:div>
    <w:div w:id="633563627">
      <w:bodyDiv w:val="1"/>
      <w:marLeft w:val="0"/>
      <w:marRight w:val="0"/>
      <w:marTop w:val="0"/>
      <w:marBottom w:val="0"/>
      <w:divBdr>
        <w:top w:val="none" w:sz="0" w:space="0" w:color="auto"/>
        <w:left w:val="none" w:sz="0" w:space="0" w:color="auto"/>
        <w:bottom w:val="none" w:sz="0" w:space="0" w:color="auto"/>
        <w:right w:val="none" w:sz="0" w:space="0" w:color="auto"/>
      </w:divBdr>
    </w:div>
    <w:div w:id="735394279">
      <w:bodyDiv w:val="1"/>
      <w:marLeft w:val="0"/>
      <w:marRight w:val="0"/>
      <w:marTop w:val="0"/>
      <w:marBottom w:val="0"/>
      <w:divBdr>
        <w:top w:val="none" w:sz="0" w:space="0" w:color="auto"/>
        <w:left w:val="none" w:sz="0" w:space="0" w:color="auto"/>
        <w:bottom w:val="none" w:sz="0" w:space="0" w:color="auto"/>
        <w:right w:val="none" w:sz="0" w:space="0" w:color="auto"/>
      </w:divBdr>
    </w:div>
    <w:div w:id="773792338">
      <w:bodyDiv w:val="1"/>
      <w:marLeft w:val="0"/>
      <w:marRight w:val="0"/>
      <w:marTop w:val="0"/>
      <w:marBottom w:val="0"/>
      <w:divBdr>
        <w:top w:val="none" w:sz="0" w:space="0" w:color="auto"/>
        <w:left w:val="none" w:sz="0" w:space="0" w:color="auto"/>
        <w:bottom w:val="none" w:sz="0" w:space="0" w:color="auto"/>
        <w:right w:val="none" w:sz="0" w:space="0" w:color="auto"/>
      </w:divBdr>
    </w:div>
    <w:div w:id="821889017">
      <w:bodyDiv w:val="1"/>
      <w:marLeft w:val="0"/>
      <w:marRight w:val="0"/>
      <w:marTop w:val="0"/>
      <w:marBottom w:val="0"/>
      <w:divBdr>
        <w:top w:val="none" w:sz="0" w:space="0" w:color="auto"/>
        <w:left w:val="none" w:sz="0" w:space="0" w:color="auto"/>
        <w:bottom w:val="none" w:sz="0" w:space="0" w:color="auto"/>
        <w:right w:val="none" w:sz="0" w:space="0" w:color="auto"/>
      </w:divBdr>
    </w:div>
    <w:div w:id="867372902">
      <w:bodyDiv w:val="1"/>
      <w:marLeft w:val="0"/>
      <w:marRight w:val="0"/>
      <w:marTop w:val="0"/>
      <w:marBottom w:val="0"/>
      <w:divBdr>
        <w:top w:val="none" w:sz="0" w:space="0" w:color="auto"/>
        <w:left w:val="none" w:sz="0" w:space="0" w:color="auto"/>
        <w:bottom w:val="none" w:sz="0" w:space="0" w:color="auto"/>
        <w:right w:val="none" w:sz="0" w:space="0" w:color="auto"/>
      </w:divBdr>
    </w:div>
    <w:div w:id="893589725">
      <w:bodyDiv w:val="1"/>
      <w:marLeft w:val="0"/>
      <w:marRight w:val="0"/>
      <w:marTop w:val="0"/>
      <w:marBottom w:val="0"/>
      <w:divBdr>
        <w:top w:val="none" w:sz="0" w:space="0" w:color="auto"/>
        <w:left w:val="none" w:sz="0" w:space="0" w:color="auto"/>
        <w:bottom w:val="none" w:sz="0" w:space="0" w:color="auto"/>
        <w:right w:val="none" w:sz="0" w:space="0" w:color="auto"/>
      </w:divBdr>
    </w:div>
    <w:div w:id="995688555">
      <w:bodyDiv w:val="1"/>
      <w:marLeft w:val="0"/>
      <w:marRight w:val="0"/>
      <w:marTop w:val="0"/>
      <w:marBottom w:val="0"/>
      <w:divBdr>
        <w:top w:val="none" w:sz="0" w:space="0" w:color="auto"/>
        <w:left w:val="none" w:sz="0" w:space="0" w:color="auto"/>
        <w:bottom w:val="none" w:sz="0" w:space="0" w:color="auto"/>
        <w:right w:val="none" w:sz="0" w:space="0" w:color="auto"/>
      </w:divBdr>
    </w:div>
    <w:div w:id="1009022338">
      <w:bodyDiv w:val="1"/>
      <w:marLeft w:val="0"/>
      <w:marRight w:val="0"/>
      <w:marTop w:val="0"/>
      <w:marBottom w:val="0"/>
      <w:divBdr>
        <w:top w:val="none" w:sz="0" w:space="0" w:color="auto"/>
        <w:left w:val="none" w:sz="0" w:space="0" w:color="auto"/>
        <w:bottom w:val="none" w:sz="0" w:space="0" w:color="auto"/>
        <w:right w:val="none" w:sz="0" w:space="0" w:color="auto"/>
      </w:divBdr>
    </w:div>
    <w:div w:id="1382024851">
      <w:bodyDiv w:val="1"/>
      <w:marLeft w:val="0"/>
      <w:marRight w:val="0"/>
      <w:marTop w:val="0"/>
      <w:marBottom w:val="0"/>
      <w:divBdr>
        <w:top w:val="none" w:sz="0" w:space="0" w:color="auto"/>
        <w:left w:val="none" w:sz="0" w:space="0" w:color="auto"/>
        <w:bottom w:val="none" w:sz="0" w:space="0" w:color="auto"/>
        <w:right w:val="none" w:sz="0" w:space="0" w:color="auto"/>
      </w:divBdr>
    </w:div>
    <w:div w:id="1457944086">
      <w:bodyDiv w:val="1"/>
      <w:marLeft w:val="0"/>
      <w:marRight w:val="0"/>
      <w:marTop w:val="0"/>
      <w:marBottom w:val="0"/>
      <w:divBdr>
        <w:top w:val="none" w:sz="0" w:space="0" w:color="auto"/>
        <w:left w:val="none" w:sz="0" w:space="0" w:color="auto"/>
        <w:bottom w:val="none" w:sz="0" w:space="0" w:color="auto"/>
        <w:right w:val="none" w:sz="0" w:space="0" w:color="auto"/>
      </w:divBdr>
    </w:div>
    <w:div w:id="1465123399">
      <w:bodyDiv w:val="1"/>
      <w:marLeft w:val="0"/>
      <w:marRight w:val="0"/>
      <w:marTop w:val="0"/>
      <w:marBottom w:val="0"/>
      <w:divBdr>
        <w:top w:val="none" w:sz="0" w:space="0" w:color="auto"/>
        <w:left w:val="none" w:sz="0" w:space="0" w:color="auto"/>
        <w:bottom w:val="none" w:sz="0" w:space="0" w:color="auto"/>
        <w:right w:val="none" w:sz="0" w:space="0" w:color="auto"/>
      </w:divBdr>
    </w:div>
    <w:div w:id="1517620867">
      <w:bodyDiv w:val="1"/>
      <w:marLeft w:val="0"/>
      <w:marRight w:val="0"/>
      <w:marTop w:val="0"/>
      <w:marBottom w:val="0"/>
      <w:divBdr>
        <w:top w:val="none" w:sz="0" w:space="0" w:color="auto"/>
        <w:left w:val="none" w:sz="0" w:space="0" w:color="auto"/>
        <w:bottom w:val="none" w:sz="0" w:space="0" w:color="auto"/>
        <w:right w:val="none" w:sz="0" w:space="0" w:color="auto"/>
      </w:divBdr>
    </w:div>
    <w:div w:id="1533299492">
      <w:bodyDiv w:val="1"/>
      <w:marLeft w:val="0"/>
      <w:marRight w:val="0"/>
      <w:marTop w:val="0"/>
      <w:marBottom w:val="0"/>
      <w:divBdr>
        <w:top w:val="none" w:sz="0" w:space="0" w:color="auto"/>
        <w:left w:val="none" w:sz="0" w:space="0" w:color="auto"/>
        <w:bottom w:val="none" w:sz="0" w:space="0" w:color="auto"/>
        <w:right w:val="none" w:sz="0" w:space="0" w:color="auto"/>
      </w:divBdr>
    </w:div>
    <w:div w:id="1537040556">
      <w:bodyDiv w:val="1"/>
      <w:marLeft w:val="0"/>
      <w:marRight w:val="0"/>
      <w:marTop w:val="0"/>
      <w:marBottom w:val="0"/>
      <w:divBdr>
        <w:top w:val="none" w:sz="0" w:space="0" w:color="auto"/>
        <w:left w:val="none" w:sz="0" w:space="0" w:color="auto"/>
        <w:bottom w:val="none" w:sz="0" w:space="0" w:color="auto"/>
        <w:right w:val="none" w:sz="0" w:space="0" w:color="auto"/>
      </w:divBdr>
    </w:div>
    <w:div w:id="1617827132">
      <w:bodyDiv w:val="1"/>
      <w:marLeft w:val="0"/>
      <w:marRight w:val="0"/>
      <w:marTop w:val="0"/>
      <w:marBottom w:val="0"/>
      <w:divBdr>
        <w:top w:val="none" w:sz="0" w:space="0" w:color="auto"/>
        <w:left w:val="none" w:sz="0" w:space="0" w:color="auto"/>
        <w:bottom w:val="none" w:sz="0" w:space="0" w:color="auto"/>
        <w:right w:val="none" w:sz="0" w:space="0" w:color="auto"/>
      </w:divBdr>
    </w:div>
    <w:div w:id="1702825828">
      <w:bodyDiv w:val="1"/>
      <w:marLeft w:val="0"/>
      <w:marRight w:val="0"/>
      <w:marTop w:val="0"/>
      <w:marBottom w:val="0"/>
      <w:divBdr>
        <w:top w:val="none" w:sz="0" w:space="0" w:color="auto"/>
        <w:left w:val="none" w:sz="0" w:space="0" w:color="auto"/>
        <w:bottom w:val="none" w:sz="0" w:space="0" w:color="auto"/>
        <w:right w:val="none" w:sz="0" w:space="0" w:color="auto"/>
      </w:divBdr>
    </w:div>
    <w:div w:id="1734162050">
      <w:bodyDiv w:val="1"/>
      <w:marLeft w:val="0"/>
      <w:marRight w:val="0"/>
      <w:marTop w:val="0"/>
      <w:marBottom w:val="0"/>
      <w:divBdr>
        <w:top w:val="none" w:sz="0" w:space="0" w:color="auto"/>
        <w:left w:val="none" w:sz="0" w:space="0" w:color="auto"/>
        <w:bottom w:val="none" w:sz="0" w:space="0" w:color="auto"/>
        <w:right w:val="none" w:sz="0" w:space="0" w:color="auto"/>
      </w:divBdr>
    </w:div>
    <w:div w:id="1872255817">
      <w:bodyDiv w:val="1"/>
      <w:marLeft w:val="0"/>
      <w:marRight w:val="0"/>
      <w:marTop w:val="0"/>
      <w:marBottom w:val="0"/>
      <w:divBdr>
        <w:top w:val="none" w:sz="0" w:space="0" w:color="auto"/>
        <w:left w:val="none" w:sz="0" w:space="0" w:color="auto"/>
        <w:bottom w:val="none" w:sz="0" w:space="0" w:color="auto"/>
        <w:right w:val="none" w:sz="0" w:space="0" w:color="auto"/>
      </w:divBdr>
    </w:div>
    <w:div w:id="1924025078">
      <w:bodyDiv w:val="1"/>
      <w:marLeft w:val="0"/>
      <w:marRight w:val="0"/>
      <w:marTop w:val="0"/>
      <w:marBottom w:val="0"/>
      <w:divBdr>
        <w:top w:val="none" w:sz="0" w:space="0" w:color="auto"/>
        <w:left w:val="none" w:sz="0" w:space="0" w:color="auto"/>
        <w:bottom w:val="none" w:sz="0" w:space="0" w:color="auto"/>
        <w:right w:val="none" w:sz="0" w:space="0" w:color="auto"/>
      </w:divBdr>
    </w:div>
    <w:div w:id="2001153815">
      <w:bodyDiv w:val="1"/>
      <w:marLeft w:val="0"/>
      <w:marRight w:val="0"/>
      <w:marTop w:val="0"/>
      <w:marBottom w:val="0"/>
      <w:divBdr>
        <w:top w:val="none" w:sz="0" w:space="0" w:color="auto"/>
        <w:left w:val="none" w:sz="0" w:space="0" w:color="auto"/>
        <w:bottom w:val="none" w:sz="0" w:space="0" w:color="auto"/>
        <w:right w:val="none" w:sz="0" w:space="0" w:color="auto"/>
      </w:divBdr>
    </w:div>
    <w:div w:id="2030330513">
      <w:bodyDiv w:val="1"/>
      <w:marLeft w:val="0"/>
      <w:marRight w:val="0"/>
      <w:marTop w:val="0"/>
      <w:marBottom w:val="0"/>
      <w:divBdr>
        <w:top w:val="none" w:sz="0" w:space="0" w:color="auto"/>
        <w:left w:val="none" w:sz="0" w:space="0" w:color="auto"/>
        <w:bottom w:val="none" w:sz="0" w:space="0" w:color="auto"/>
        <w:right w:val="none" w:sz="0" w:space="0" w:color="auto"/>
      </w:divBdr>
    </w:div>
    <w:div w:id="2047758051">
      <w:bodyDiv w:val="1"/>
      <w:marLeft w:val="0"/>
      <w:marRight w:val="0"/>
      <w:marTop w:val="0"/>
      <w:marBottom w:val="0"/>
      <w:divBdr>
        <w:top w:val="none" w:sz="0" w:space="0" w:color="auto"/>
        <w:left w:val="none" w:sz="0" w:space="0" w:color="auto"/>
        <w:bottom w:val="none" w:sz="0" w:space="0" w:color="auto"/>
        <w:right w:val="none" w:sz="0" w:space="0" w:color="auto"/>
      </w:divBdr>
    </w:div>
    <w:div w:id="2057464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csbi.org.uk/wp-content/uploads/2017/10/CSBI-Mitigation-Hierarchy-Guide.pdf" TargetMode="External"/><Relationship Id="rId26" Type="http://schemas.openxmlformats.org/officeDocument/2006/relationships/hyperlink" Target="https://offshorewind.rvo.nl/files/view/3b960c83-6a0c-4d19-9164-f10cdb77873f/1625051036hkw_20210630_project%20and%20site%20description-f.pdf" TargetMode="External"/><Relationship Id="rId39" Type="http://schemas.openxmlformats.org/officeDocument/2006/relationships/theme" Target="theme/theme1.xml"/><Relationship Id="rId21" Type="http://schemas.openxmlformats.org/officeDocument/2006/relationships/hyperlink" Target="https://www.sciencedirect.com/science/article/pii/S0006320722003482" TargetMode="External"/><Relationship Id="rId34" Type="http://schemas.openxmlformats.org/officeDocument/2006/relationships/hyperlink" Target="https://www.nature.org/content/dam/tnc/nature/en/documents/TNC_BiodiversityNetGain_England.pdf"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sciencedirect.com/science/article/pii/S1364032122004762?via%3Dihub" TargetMode="External"/><Relationship Id="rId33" Type="http://schemas.openxmlformats.org/officeDocument/2006/relationships/footer" Target="foot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protect-us.mimecast.com/s/7J5YCxkzyGIo4x6of8PYkA?domain=bluedotassociates.com" TargetMode="External"/><Relationship Id="rId29" Type="http://schemas.openxmlformats.org/officeDocument/2006/relationships/hyperlink" Target="https://www.sciencedirect.com/science/article/pii/S030147972031312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ceanconservancy.org/wp-content/uploads/2022/05/Offshore-Wind-Report_20220523.pdf" TargetMode="External"/><Relationship Id="rId24" Type="http://schemas.openxmlformats.org/officeDocument/2006/relationships/hyperlink" Target="https://www.paulsoninstitute.org/conservation/financing-nature-report/" TargetMode="External"/><Relationship Id="rId32" Type="http://schemas.openxmlformats.org/officeDocument/2006/relationships/hyperlink" Target="https://www.psc.state.md.us/wp-content/uploads/Order-No.-90011-Case-No.-9666-Order-Granting-Offshore-Wind-Renewable-Energy-Credits.pdf" TargetMode="External"/><Relationship Id="rId37"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consult.defra.gov.uk/defra-net-gain-consultation-team/consultation-on-the-principles-of-marine-net-gain/supporting_documents/Consultation%20on%20the%20Principles%20of%20Marine%20Net%20Gain.pdf" TargetMode="External"/><Relationship Id="rId28" Type="http://schemas.openxmlformats.org/officeDocument/2006/relationships/footer" Target="footer5.xml"/><Relationship Id="rId36" Type="http://schemas.openxmlformats.org/officeDocument/2006/relationships/hyperlink" Target="https://www.mdpi.com/1424-2818/15/2/288" TargetMode="External"/><Relationship Id="rId10" Type="http://schemas.openxmlformats.org/officeDocument/2006/relationships/hyperlink" Target="https://oceanconservancy.org/climate/offshore-wind/offshore-wind-report/" TargetMode="External"/><Relationship Id="rId19" Type="http://schemas.openxmlformats.org/officeDocument/2006/relationships/hyperlink" Target="https://www.marinedataexchange.co.uk/details/3573/2022-the-crown-estate-de-rijke-noordzee-cefas-flanders-marine-institute-offshore-wind-evidence-and-change-programme-north-sea-net-gain-project/packages/10640?directory=%2F" TargetMode="External"/><Relationship Id="rId31" Type="http://schemas.openxmlformats.org/officeDocument/2006/relationships/hyperlink" Target="https://www.whitehouse.gov/wp-content/uploads/2023/03/Ocean-Climate-Action-Plan_Final.pdf" TargetMode="External"/><Relationship Id="rId4" Type="http://schemas.openxmlformats.org/officeDocument/2006/relationships/settings" Target="settings.xml"/><Relationship Id="rId9" Type="http://schemas.openxmlformats.org/officeDocument/2006/relationships/hyperlink" Target="https://www.iucn.org/resources/grey-literature/industry-guidance-early-screening-biodiversity-risk-offshore-wind-energy" TargetMode="Externa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yperlink" Target="https://protect-us.mimecast.com/s/w9jHCERXylsXQ3lnCwGCt1?domain=offshorewind.rvo.nl" TargetMode="External"/><Relationship Id="rId30" Type="http://schemas.openxmlformats.org/officeDocument/2006/relationships/hyperlink" Target="https://www.sciencedirect.com/science/article/abs/pii/S2214629620303194" TargetMode="External"/><Relationship Id="rId35" Type="http://schemas.openxmlformats.org/officeDocument/2006/relationships/hyperlink" Target="https://windeurope.org/wp-content/uploads/files/policy/position-papers/20220413-WindEurope-Position-paper-non-price-criteria-in-auctions.pdf?20220520b" TargetMode="External"/><Relationship Id="rId8" Type="http://schemas.openxmlformats.org/officeDocument/2006/relationships/hyperlink" Target="https://crsreports.congress.gov/product/pdf/R/R40175"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png"/></Relationships>
</file>

<file path=word/_rels/footer4.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png"/></Relationships>
</file>

<file path=word/_rels/footer5.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png"/></Relationships>
</file>

<file path=word/_rels/footer6.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png"/></Relationships>
</file>

<file path=word/_rels/footer7.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3E400-C4D6-7544-AB0D-3E98D3413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1817</Words>
  <Characters>8435</Characters>
  <Application>Microsoft Office Word</Application>
  <DocSecurity>0</DocSecurity>
  <Lines>290</Lines>
  <Paragraphs>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Wyman, Julia</dc:creator>
  <cp:keywords/>
  <dc:description/>
  <cp:lastModifiedBy>Wyman, Julia</cp:lastModifiedBy>
  <cp:revision>5</cp:revision>
  <cp:lastPrinted>2023-04-19T17:55:00Z</cp:lastPrinted>
  <dcterms:created xsi:type="dcterms:W3CDTF">2023-04-19T17:55:00Z</dcterms:created>
  <dcterms:modified xsi:type="dcterms:W3CDTF">2023-04-19T18:03:00Z</dcterms:modified>
</cp:coreProperties>
</file>